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17AD2" w:rsidRDefault="00836401" w:rsidP="00836401">
      <w:pPr>
        <w:spacing w:after="0"/>
        <w:jc w:val="center"/>
        <w:rPr>
          <w:rFonts w:ascii="Cambria Math" w:hAnsi="Cambria Math"/>
        </w:rPr>
      </w:pPr>
      <w:r>
        <w:rPr>
          <w:rFonts w:ascii="Cambria Math" w:hAnsi="Cambria Math"/>
        </w:rPr>
        <w:t>BIO1140 Topic 3: The Cytoskeleton</w:t>
      </w:r>
    </w:p>
    <w:p w:rsidR="00836401" w:rsidRPr="00327C16" w:rsidRDefault="00836401" w:rsidP="00836401">
      <w:pPr>
        <w:spacing w:after="0"/>
        <w:rPr>
          <w:rFonts w:ascii="Cambria Math" w:hAnsi="Cambria Math"/>
          <w:b/>
        </w:rPr>
      </w:pPr>
      <w:r w:rsidRPr="00327C16">
        <w:rPr>
          <w:rFonts w:ascii="Cambria Math" w:hAnsi="Cambria Math"/>
          <w:b/>
        </w:rPr>
        <w:t>1. What are the components of the Cytoskeleton?</w:t>
      </w:r>
    </w:p>
    <w:p w:rsidR="00BB6A0A" w:rsidRDefault="00BB6A0A" w:rsidP="00BB6A0A">
      <w:pPr>
        <w:pStyle w:val="ListParagraph"/>
        <w:numPr>
          <w:ilvl w:val="0"/>
          <w:numId w:val="1"/>
        </w:numPr>
        <w:spacing w:after="0"/>
        <w:rPr>
          <w:rFonts w:ascii="Cambria Math" w:hAnsi="Cambria Math"/>
        </w:rPr>
      </w:pPr>
      <w:r>
        <w:rPr>
          <w:rFonts w:ascii="Cambria Math" w:hAnsi="Cambria Math"/>
        </w:rPr>
        <w:t>Microtubules</w:t>
      </w:r>
    </w:p>
    <w:p w:rsidR="00BB6A0A" w:rsidRDefault="00BB6A0A" w:rsidP="00BB6A0A">
      <w:pPr>
        <w:pStyle w:val="ListParagraph"/>
        <w:numPr>
          <w:ilvl w:val="0"/>
          <w:numId w:val="1"/>
        </w:numPr>
        <w:spacing w:after="0"/>
        <w:rPr>
          <w:rFonts w:ascii="Cambria Math" w:hAnsi="Cambria Math"/>
        </w:rPr>
      </w:pPr>
      <w:r>
        <w:rPr>
          <w:rFonts w:ascii="Cambria Math" w:hAnsi="Cambria Math"/>
        </w:rPr>
        <w:t>Microfilaments</w:t>
      </w:r>
    </w:p>
    <w:p w:rsidR="00BB6A0A" w:rsidRPr="00BB6A0A" w:rsidRDefault="00BB6A0A" w:rsidP="00BB6A0A">
      <w:pPr>
        <w:pStyle w:val="ListParagraph"/>
        <w:numPr>
          <w:ilvl w:val="0"/>
          <w:numId w:val="1"/>
        </w:numPr>
        <w:spacing w:after="0"/>
        <w:rPr>
          <w:rFonts w:ascii="Cambria Math" w:hAnsi="Cambria Math"/>
        </w:rPr>
      </w:pPr>
      <w:r>
        <w:rPr>
          <w:rFonts w:ascii="Cambria Math" w:hAnsi="Cambria Math"/>
        </w:rPr>
        <w:t>Intermediate Filaments</w:t>
      </w:r>
    </w:p>
    <w:p w:rsidR="00981171" w:rsidRDefault="00981171" w:rsidP="00836401">
      <w:pPr>
        <w:spacing w:after="0"/>
        <w:rPr>
          <w:rFonts w:ascii="Cambria Math" w:hAnsi="Cambria Math"/>
          <w:b/>
        </w:rPr>
      </w:pPr>
    </w:p>
    <w:p w:rsidR="00836401" w:rsidRPr="00327C16" w:rsidRDefault="00836401" w:rsidP="00836401">
      <w:pPr>
        <w:spacing w:after="0"/>
        <w:rPr>
          <w:rFonts w:ascii="Cambria Math" w:hAnsi="Cambria Math"/>
          <w:b/>
        </w:rPr>
      </w:pPr>
      <w:r w:rsidRPr="00327C16">
        <w:rPr>
          <w:rFonts w:ascii="Cambria Math" w:hAnsi="Cambria Math"/>
          <w:b/>
        </w:rPr>
        <w:t>2. Describe the major functions of the cytoskeleton</w:t>
      </w:r>
    </w:p>
    <w:p w:rsidR="00327C16" w:rsidRPr="0044658C" w:rsidRDefault="00327C16" w:rsidP="00327C16">
      <w:pPr>
        <w:spacing w:after="0"/>
        <w:rPr>
          <w:rFonts w:ascii="Cambria Math" w:hAnsi="Cambria Math"/>
          <w:b/>
        </w:rPr>
      </w:pPr>
      <w:r w:rsidRPr="0044658C">
        <w:rPr>
          <w:rFonts w:ascii="Cambria Math" w:hAnsi="Cambria Math"/>
          <w:b/>
        </w:rPr>
        <w:t>Functions of the Cytoskeleton:</w:t>
      </w:r>
    </w:p>
    <w:p w:rsidR="00327C16" w:rsidRDefault="00327C16" w:rsidP="00327C16">
      <w:pPr>
        <w:pStyle w:val="ListParagraph"/>
        <w:numPr>
          <w:ilvl w:val="0"/>
          <w:numId w:val="2"/>
        </w:numPr>
        <w:spacing w:after="0"/>
        <w:rPr>
          <w:rFonts w:ascii="Cambria Math" w:hAnsi="Cambria Math"/>
        </w:rPr>
      </w:pPr>
      <w:r>
        <w:rPr>
          <w:rFonts w:ascii="Cambria Math" w:hAnsi="Cambria Math"/>
        </w:rPr>
        <w:t>Structure and Support</w:t>
      </w:r>
    </w:p>
    <w:p w:rsidR="00327C16" w:rsidRDefault="00327C16" w:rsidP="00327C16">
      <w:pPr>
        <w:pStyle w:val="ListParagraph"/>
        <w:numPr>
          <w:ilvl w:val="1"/>
          <w:numId w:val="2"/>
        </w:numPr>
        <w:spacing w:after="0"/>
        <w:rPr>
          <w:rFonts w:ascii="Cambria Math" w:hAnsi="Cambria Math"/>
        </w:rPr>
      </w:pPr>
      <w:r>
        <w:rPr>
          <w:rFonts w:ascii="Cambria Math" w:hAnsi="Cambria Math"/>
        </w:rPr>
        <w:t>Especially</w:t>
      </w:r>
      <w:r w:rsidR="00E95C53">
        <w:rPr>
          <w:rFonts w:ascii="Cambria Math" w:hAnsi="Cambria Math"/>
        </w:rPr>
        <w:t xml:space="preserve"> true</w:t>
      </w:r>
      <w:r>
        <w:rPr>
          <w:rFonts w:ascii="Cambria Math" w:hAnsi="Cambria Math"/>
        </w:rPr>
        <w:t xml:space="preserve"> Animals cells that lack cell walls</w:t>
      </w:r>
      <w:r w:rsidR="00E95C53">
        <w:rPr>
          <w:rFonts w:ascii="Cambria Math" w:hAnsi="Cambria Math"/>
        </w:rPr>
        <w:t>; support cell membrane</w:t>
      </w:r>
    </w:p>
    <w:p w:rsidR="00327C16" w:rsidRDefault="00E95C53" w:rsidP="00327C16">
      <w:pPr>
        <w:pStyle w:val="ListParagraph"/>
        <w:numPr>
          <w:ilvl w:val="1"/>
          <w:numId w:val="2"/>
        </w:numPr>
        <w:spacing w:after="0"/>
        <w:rPr>
          <w:rFonts w:ascii="Cambria Math" w:hAnsi="Cambria Math"/>
        </w:rPr>
      </w:pPr>
      <w:r>
        <w:rPr>
          <w:rFonts w:ascii="Cambria Math" w:hAnsi="Cambria Math"/>
        </w:rPr>
        <w:t xml:space="preserve">Shape (i.e. shape of </w:t>
      </w:r>
      <w:r w:rsidR="00327C16">
        <w:rPr>
          <w:rFonts w:ascii="Cambria Math" w:hAnsi="Cambria Math"/>
        </w:rPr>
        <w:t>Microvi</w:t>
      </w:r>
      <w:r>
        <w:rPr>
          <w:rFonts w:ascii="Cambria Math" w:hAnsi="Cambria Math"/>
        </w:rPr>
        <w:t>l</w:t>
      </w:r>
      <w:r w:rsidR="00327C16">
        <w:rPr>
          <w:rFonts w:ascii="Cambria Math" w:hAnsi="Cambria Math"/>
        </w:rPr>
        <w:t>li</w:t>
      </w:r>
      <w:r>
        <w:rPr>
          <w:rFonts w:ascii="Cambria Math" w:hAnsi="Cambria Math"/>
        </w:rPr>
        <w:t>)</w:t>
      </w:r>
    </w:p>
    <w:p w:rsidR="00327C16" w:rsidRDefault="00327C16" w:rsidP="00327C16">
      <w:pPr>
        <w:pStyle w:val="ListParagraph"/>
        <w:numPr>
          <w:ilvl w:val="0"/>
          <w:numId w:val="2"/>
        </w:numPr>
        <w:spacing w:after="0"/>
        <w:rPr>
          <w:rFonts w:ascii="Cambria Math" w:hAnsi="Cambria Math"/>
        </w:rPr>
      </w:pPr>
      <w:r>
        <w:rPr>
          <w:rFonts w:ascii="Cambria Math" w:hAnsi="Cambria Math"/>
        </w:rPr>
        <w:t>Intracellular Support</w:t>
      </w:r>
      <w:r w:rsidR="00E95C53">
        <w:rPr>
          <w:rFonts w:ascii="Cambria Math" w:hAnsi="Cambria Math"/>
        </w:rPr>
        <w:t xml:space="preserve"> (Internal transport system)</w:t>
      </w:r>
    </w:p>
    <w:p w:rsidR="00327C16" w:rsidRDefault="00327C16" w:rsidP="00327C16">
      <w:pPr>
        <w:pStyle w:val="ListParagraph"/>
        <w:numPr>
          <w:ilvl w:val="1"/>
          <w:numId w:val="2"/>
        </w:numPr>
        <w:spacing w:after="0"/>
        <w:rPr>
          <w:rFonts w:ascii="Cambria Math" w:hAnsi="Cambria Math"/>
        </w:rPr>
      </w:pPr>
      <w:r>
        <w:rPr>
          <w:rFonts w:ascii="Cambria Math" w:hAnsi="Cambria Math"/>
        </w:rPr>
        <w:t>Allows Greater sizes in eukaryotic cells than prokaryotic</w:t>
      </w:r>
      <w:r w:rsidR="00E95C53">
        <w:rPr>
          <w:rFonts w:ascii="Cambria Math" w:hAnsi="Cambria Math"/>
        </w:rPr>
        <w:t xml:space="preserve"> cells</w:t>
      </w:r>
    </w:p>
    <w:p w:rsidR="00327C16" w:rsidRDefault="00327C16" w:rsidP="00327C16">
      <w:pPr>
        <w:pStyle w:val="ListParagraph"/>
        <w:numPr>
          <w:ilvl w:val="1"/>
          <w:numId w:val="2"/>
        </w:numPr>
        <w:spacing w:after="0"/>
        <w:rPr>
          <w:rFonts w:ascii="Cambria Math" w:hAnsi="Cambria Math"/>
        </w:rPr>
      </w:pPr>
      <w:r>
        <w:rPr>
          <w:rFonts w:ascii="Cambria Math" w:hAnsi="Cambria Math"/>
        </w:rPr>
        <w:t>Cell doesn’t have to rely on diffusion</w:t>
      </w:r>
    </w:p>
    <w:p w:rsidR="00E95C53" w:rsidRDefault="00E95C53" w:rsidP="00327C16">
      <w:pPr>
        <w:pStyle w:val="ListParagraph"/>
        <w:numPr>
          <w:ilvl w:val="1"/>
          <w:numId w:val="2"/>
        </w:numPr>
        <w:spacing w:after="0"/>
        <w:rPr>
          <w:rFonts w:ascii="Cambria Math" w:hAnsi="Cambria Math"/>
        </w:rPr>
      </w:pPr>
      <w:r>
        <w:rPr>
          <w:rFonts w:ascii="Cambria Math" w:hAnsi="Cambria Math"/>
        </w:rPr>
        <w:t xml:space="preserve">Can be used to move organelles and macromolecules around the cell. </w:t>
      </w:r>
    </w:p>
    <w:p w:rsidR="00327C16" w:rsidRDefault="00327C16" w:rsidP="00327C16">
      <w:pPr>
        <w:pStyle w:val="ListParagraph"/>
        <w:numPr>
          <w:ilvl w:val="0"/>
          <w:numId w:val="2"/>
        </w:numPr>
        <w:spacing w:after="0"/>
        <w:rPr>
          <w:rFonts w:ascii="Cambria Math" w:hAnsi="Cambria Math"/>
        </w:rPr>
      </w:pPr>
      <w:r>
        <w:rPr>
          <w:rFonts w:ascii="Cambria Math" w:hAnsi="Cambria Math"/>
        </w:rPr>
        <w:t>Positioning of Organelles within the cell</w:t>
      </w:r>
    </w:p>
    <w:p w:rsidR="00327C16" w:rsidRDefault="00327C16" w:rsidP="00327C16">
      <w:pPr>
        <w:pStyle w:val="ListParagraph"/>
        <w:numPr>
          <w:ilvl w:val="0"/>
          <w:numId w:val="2"/>
        </w:numPr>
        <w:spacing w:after="0"/>
        <w:rPr>
          <w:rFonts w:ascii="Cambria Math" w:hAnsi="Cambria Math"/>
        </w:rPr>
      </w:pPr>
      <w:r>
        <w:rPr>
          <w:rFonts w:ascii="Cambria Math" w:hAnsi="Cambria Math"/>
        </w:rPr>
        <w:t>Movement of Cell</w:t>
      </w:r>
    </w:p>
    <w:p w:rsidR="00327C16" w:rsidRDefault="00E95C53" w:rsidP="00327C16">
      <w:pPr>
        <w:pStyle w:val="ListParagraph"/>
        <w:numPr>
          <w:ilvl w:val="1"/>
          <w:numId w:val="2"/>
        </w:numPr>
        <w:spacing w:after="0"/>
        <w:rPr>
          <w:rFonts w:ascii="Cambria Math" w:hAnsi="Cambria Math"/>
        </w:rPr>
      </w:pPr>
      <w:r>
        <w:rPr>
          <w:rFonts w:ascii="Cambria Math" w:hAnsi="Cambria Math"/>
        </w:rPr>
        <w:t xml:space="preserve">i.e. </w:t>
      </w:r>
      <w:r w:rsidR="00327C16">
        <w:rPr>
          <w:rFonts w:ascii="Cambria Math" w:hAnsi="Cambria Math"/>
        </w:rPr>
        <w:t>Muscle function</w:t>
      </w:r>
      <w:r>
        <w:rPr>
          <w:rFonts w:ascii="Cambria Math" w:hAnsi="Cambria Math"/>
        </w:rPr>
        <w:t xml:space="preserve"> </w:t>
      </w:r>
    </w:p>
    <w:p w:rsidR="00327C16" w:rsidRDefault="00E95C53" w:rsidP="00327C16">
      <w:pPr>
        <w:pStyle w:val="ListParagraph"/>
        <w:numPr>
          <w:ilvl w:val="1"/>
          <w:numId w:val="2"/>
        </w:numPr>
        <w:spacing w:after="0"/>
        <w:rPr>
          <w:rFonts w:ascii="Cambria Math" w:hAnsi="Cambria Math"/>
        </w:rPr>
      </w:pPr>
      <w:r>
        <w:rPr>
          <w:rFonts w:ascii="Cambria Math" w:hAnsi="Cambria Math"/>
        </w:rPr>
        <w:t xml:space="preserve">i.e. </w:t>
      </w:r>
      <w:r w:rsidR="00327C16">
        <w:rPr>
          <w:rFonts w:ascii="Cambria Math" w:hAnsi="Cambria Math"/>
        </w:rPr>
        <w:t>Cilia and Flagella</w:t>
      </w:r>
    </w:p>
    <w:p w:rsidR="00E95C53" w:rsidRDefault="00E95C53" w:rsidP="00327C16">
      <w:pPr>
        <w:pStyle w:val="ListParagraph"/>
        <w:numPr>
          <w:ilvl w:val="1"/>
          <w:numId w:val="2"/>
        </w:numPr>
        <w:spacing w:after="0"/>
        <w:rPr>
          <w:rFonts w:ascii="Cambria Math" w:hAnsi="Cambria Math"/>
        </w:rPr>
      </w:pPr>
      <w:r>
        <w:rPr>
          <w:rFonts w:ascii="Cambria Math" w:hAnsi="Cambria Math"/>
        </w:rPr>
        <w:t>Any movement into/out of the cell</w:t>
      </w:r>
    </w:p>
    <w:p w:rsidR="00327C16" w:rsidRDefault="00327C16" w:rsidP="00E95C53">
      <w:pPr>
        <w:pStyle w:val="ListParagraph"/>
        <w:numPr>
          <w:ilvl w:val="2"/>
          <w:numId w:val="2"/>
        </w:numPr>
        <w:spacing w:after="0"/>
        <w:rPr>
          <w:rFonts w:ascii="Cambria Math" w:hAnsi="Cambria Math"/>
        </w:rPr>
      </w:pPr>
      <w:r>
        <w:rPr>
          <w:rFonts w:ascii="Cambria Math" w:hAnsi="Cambria Math"/>
        </w:rPr>
        <w:t>Phagocytosis</w:t>
      </w:r>
    </w:p>
    <w:p w:rsidR="00E95C53" w:rsidRDefault="00E95C53" w:rsidP="00E95C53">
      <w:pPr>
        <w:pStyle w:val="ListParagraph"/>
        <w:numPr>
          <w:ilvl w:val="2"/>
          <w:numId w:val="2"/>
        </w:numPr>
        <w:spacing w:after="0"/>
        <w:rPr>
          <w:rFonts w:ascii="Cambria Math" w:hAnsi="Cambria Math"/>
        </w:rPr>
      </w:pPr>
      <w:r>
        <w:rPr>
          <w:rFonts w:ascii="Cambria Math" w:hAnsi="Cambria Math"/>
        </w:rPr>
        <w:t>Endocytosis</w:t>
      </w:r>
    </w:p>
    <w:p w:rsidR="00E95C53" w:rsidRDefault="00E95C53" w:rsidP="00E95C53">
      <w:pPr>
        <w:pStyle w:val="ListParagraph"/>
        <w:numPr>
          <w:ilvl w:val="2"/>
          <w:numId w:val="2"/>
        </w:numPr>
        <w:spacing w:after="0"/>
        <w:rPr>
          <w:rFonts w:ascii="Cambria Math" w:hAnsi="Cambria Math"/>
        </w:rPr>
      </w:pPr>
      <w:r>
        <w:rPr>
          <w:rFonts w:ascii="Cambria Math" w:hAnsi="Cambria Math"/>
        </w:rPr>
        <w:t>Exocytosis</w:t>
      </w:r>
    </w:p>
    <w:p w:rsidR="00327C16" w:rsidRDefault="00327C16" w:rsidP="00327C16">
      <w:pPr>
        <w:pStyle w:val="ListParagraph"/>
        <w:numPr>
          <w:ilvl w:val="1"/>
          <w:numId w:val="2"/>
        </w:numPr>
        <w:spacing w:after="0"/>
        <w:rPr>
          <w:rFonts w:ascii="Cambria Math" w:hAnsi="Cambria Math"/>
        </w:rPr>
      </w:pPr>
      <w:r>
        <w:rPr>
          <w:rFonts w:ascii="Cambria Math" w:hAnsi="Cambria Math"/>
        </w:rPr>
        <w:t>Embryonic development</w:t>
      </w:r>
    </w:p>
    <w:p w:rsidR="00327C16" w:rsidRPr="00BE371D" w:rsidRDefault="00327C16" w:rsidP="00327C16">
      <w:pPr>
        <w:pStyle w:val="ListParagraph"/>
        <w:numPr>
          <w:ilvl w:val="1"/>
          <w:numId w:val="2"/>
        </w:numPr>
        <w:spacing w:after="0"/>
        <w:rPr>
          <w:rFonts w:ascii="Cambria Math" w:hAnsi="Cambria Math"/>
        </w:rPr>
      </w:pPr>
      <w:r>
        <w:rPr>
          <w:rFonts w:ascii="Cambria Math" w:hAnsi="Cambria Math"/>
        </w:rPr>
        <w:t>Wound Healing</w:t>
      </w:r>
      <w:r w:rsidR="00E95C53">
        <w:rPr>
          <w:rFonts w:ascii="Cambria Math" w:hAnsi="Cambria Math"/>
        </w:rPr>
        <w:t xml:space="preserve"> (movement of cells into an inflamed area, defence systems, etc.)</w:t>
      </w:r>
    </w:p>
    <w:p w:rsidR="00327C16" w:rsidRDefault="00327C16" w:rsidP="00327C16">
      <w:pPr>
        <w:pStyle w:val="ListParagraph"/>
        <w:numPr>
          <w:ilvl w:val="0"/>
          <w:numId w:val="2"/>
        </w:numPr>
        <w:spacing w:after="0"/>
        <w:rPr>
          <w:rFonts w:ascii="Cambria Math" w:hAnsi="Cambria Math"/>
        </w:rPr>
      </w:pPr>
      <w:r>
        <w:rPr>
          <w:rFonts w:ascii="Cambria Math" w:hAnsi="Cambria Math"/>
        </w:rPr>
        <w:t>Cell Division</w:t>
      </w:r>
    </w:p>
    <w:p w:rsidR="00327C16" w:rsidRDefault="00327C16" w:rsidP="00327C16">
      <w:pPr>
        <w:pStyle w:val="ListParagraph"/>
        <w:numPr>
          <w:ilvl w:val="1"/>
          <w:numId w:val="2"/>
        </w:numPr>
        <w:spacing w:after="0"/>
        <w:rPr>
          <w:rFonts w:ascii="Cambria Math" w:hAnsi="Cambria Math"/>
        </w:rPr>
      </w:pPr>
      <w:r>
        <w:rPr>
          <w:rFonts w:ascii="Cambria Math" w:hAnsi="Cambria Math"/>
        </w:rPr>
        <w:t xml:space="preserve">Microtubules  </w:t>
      </w:r>
      <w:r w:rsidR="00052259">
        <w:rPr>
          <w:rFonts w:ascii="Cambria Math" w:hAnsi="Cambria Math"/>
        </w:rPr>
        <w:t>moving the chromosomes around/</w:t>
      </w:r>
      <w:r w:rsidR="00052259" w:rsidRPr="00052259">
        <w:rPr>
          <w:rFonts w:ascii="Cambria Math" w:hAnsi="Cambria Math"/>
        </w:rPr>
        <w:t xml:space="preserve"> </w:t>
      </w:r>
      <w:r w:rsidR="00052259">
        <w:rPr>
          <w:rFonts w:ascii="Cambria Math" w:hAnsi="Cambria Math"/>
        </w:rPr>
        <w:t>pulling apart chromosomes</w:t>
      </w:r>
    </w:p>
    <w:p w:rsidR="00327C16" w:rsidRPr="00C02933" w:rsidRDefault="00327C16" w:rsidP="00327C16">
      <w:pPr>
        <w:pStyle w:val="ListParagraph"/>
        <w:numPr>
          <w:ilvl w:val="1"/>
          <w:numId w:val="2"/>
        </w:numPr>
        <w:spacing w:after="0"/>
        <w:rPr>
          <w:rFonts w:ascii="Cambria Math" w:hAnsi="Cambria Math"/>
        </w:rPr>
      </w:pPr>
      <w:r>
        <w:rPr>
          <w:rFonts w:ascii="Cambria Math" w:hAnsi="Cambria Math"/>
        </w:rPr>
        <w:t>Microfilaments in cytokinesis</w:t>
      </w:r>
      <w:r w:rsidR="00052259" w:rsidRPr="00052259">
        <w:rPr>
          <w:rFonts w:ascii="Cambria Math" w:hAnsi="Cambria Math"/>
        </w:rPr>
        <w:t xml:space="preserve"> </w:t>
      </w:r>
      <w:r w:rsidR="00052259">
        <w:rPr>
          <w:rFonts w:ascii="Cambria Math" w:hAnsi="Cambria Math"/>
        </w:rPr>
        <w:t xml:space="preserve"> to separate the daughter cells</w:t>
      </w:r>
    </w:p>
    <w:p w:rsidR="00FD7EC7" w:rsidRDefault="00FD7EC7" w:rsidP="00981171">
      <w:pPr>
        <w:spacing w:after="0"/>
        <w:jc w:val="center"/>
        <w:rPr>
          <w:rFonts w:ascii="Cambria Math" w:hAnsi="Cambria Math"/>
        </w:rPr>
      </w:pPr>
    </w:p>
    <w:p w:rsidR="00327C16" w:rsidRDefault="00981171" w:rsidP="00981171">
      <w:pPr>
        <w:spacing w:after="0"/>
        <w:jc w:val="center"/>
        <w:rPr>
          <w:rFonts w:ascii="Cambria Math" w:hAnsi="Cambria Math"/>
        </w:rPr>
      </w:pPr>
      <w:r w:rsidRPr="00981171">
        <w:rPr>
          <w:rFonts w:ascii="Cambria Math" w:hAnsi="Cambria Math"/>
          <w:noProof/>
          <w:lang w:eastAsia="en-CA"/>
        </w:rPr>
        <w:lastRenderedPageBreak/>
        <w:drawing>
          <wp:inline distT="0" distB="0" distL="0" distR="0">
            <wp:extent cx="3429000" cy="5083175"/>
            <wp:effectExtent l="19050" t="0" r="0" b="0"/>
            <wp:docPr id="1" name="Pictu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768" name="Picture 128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t="8548" r="46059" b="32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5083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836401" w:rsidRPr="00327C16" w:rsidRDefault="00836401" w:rsidP="00836401">
      <w:pPr>
        <w:spacing w:after="0"/>
        <w:rPr>
          <w:rFonts w:ascii="Cambria Math" w:hAnsi="Cambria Math"/>
          <w:b/>
        </w:rPr>
      </w:pPr>
      <w:r w:rsidRPr="00327C16">
        <w:rPr>
          <w:rFonts w:ascii="Cambria Math" w:hAnsi="Cambria Math"/>
          <w:b/>
        </w:rPr>
        <w:t>3. Contrast and compare the structures of microfilament, and intermediate filaments</w:t>
      </w:r>
    </w:p>
    <w:tbl>
      <w:tblPr>
        <w:tblStyle w:val="TableGrid"/>
        <w:tblW w:w="11908" w:type="dxa"/>
        <w:tblInd w:w="-1168" w:type="dxa"/>
        <w:tblLayout w:type="fixed"/>
        <w:tblLook w:val="04A0"/>
      </w:tblPr>
      <w:tblGrid>
        <w:gridCol w:w="3970"/>
        <w:gridCol w:w="3969"/>
        <w:gridCol w:w="3969"/>
      </w:tblGrid>
      <w:tr w:rsidR="00327C16" w:rsidTr="00B10B37">
        <w:tc>
          <w:tcPr>
            <w:tcW w:w="3970" w:type="dxa"/>
          </w:tcPr>
          <w:p w:rsidR="00327C16" w:rsidRDefault="00327C16" w:rsidP="0062354E">
            <w:p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Intermediate Filament Structure</w:t>
            </w:r>
          </w:p>
        </w:tc>
        <w:tc>
          <w:tcPr>
            <w:tcW w:w="3969" w:type="dxa"/>
          </w:tcPr>
          <w:p w:rsidR="00327C16" w:rsidRDefault="00327C16" w:rsidP="0062354E">
            <w:p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Microfilament Structure</w:t>
            </w:r>
          </w:p>
        </w:tc>
        <w:tc>
          <w:tcPr>
            <w:tcW w:w="3969" w:type="dxa"/>
          </w:tcPr>
          <w:p w:rsidR="00327C16" w:rsidRDefault="00327C16" w:rsidP="0062354E">
            <w:p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Microtubules</w:t>
            </w:r>
          </w:p>
        </w:tc>
      </w:tr>
      <w:tr w:rsidR="00327C16" w:rsidRPr="00FA2661" w:rsidTr="00B10B37">
        <w:tc>
          <w:tcPr>
            <w:tcW w:w="3970" w:type="dxa"/>
          </w:tcPr>
          <w:p w:rsidR="00B10B37" w:rsidRPr="00B10B37" w:rsidRDefault="00B10B37" w:rsidP="00B10B37">
            <w:pPr>
              <w:jc w:val="center"/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FOUND IN ALL EUKARYOTIC CELLS (however,  ALL CELLS HAVE NUCLEAR LAMINS [including PROKARYOTES])</w:t>
            </w:r>
          </w:p>
          <w:p w:rsidR="005C6BF3" w:rsidRDefault="005C6BF3" w:rsidP="0062354E">
            <w:pPr>
              <w:pStyle w:val="ListParagraph"/>
              <w:numPr>
                <w:ilvl w:val="0"/>
                <w:numId w:val="3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Least dynamic</w:t>
            </w:r>
          </w:p>
          <w:p w:rsidR="00327C16" w:rsidRDefault="00327C16" w:rsidP="0062354E">
            <w:pPr>
              <w:pStyle w:val="ListParagraph"/>
              <w:numPr>
                <w:ilvl w:val="0"/>
                <w:numId w:val="3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Strong Rope-like Structure</w:t>
            </w:r>
          </w:p>
          <w:p w:rsidR="00D97120" w:rsidRDefault="00D97120" w:rsidP="0062354E">
            <w:pPr>
              <w:pStyle w:val="ListParagraph"/>
              <w:numPr>
                <w:ilvl w:val="0"/>
                <w:numId w:val="3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Made up from whole families of proteins</w:t>
            </w:r>
          </w:p>
          <w:p w:rsidR="00327C16" w:rsidRDefault="00327C16" w:rsidP="0062354E">
            <w:pPr>
              <w:pStyle w:val="ListParagraph"/>
              <w:numPr>
                <w:ilvl w:val="0"/>
                <w:numId w:val="3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10-12nm in diameter</w:t>
            </w:r>
          </w:p>
          <w:p w:rsidR="00B10B37" w:rsidRDefault="00B10B37" w:rsidP="0062354E">
            <w:pPr>
              <w:pStyle w:val="ListParagraph"/>
              <w:numPr>
                <w:ilvl w:val="0"/>
                <w:numId w:val="3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Structure:</w:t>
            </w:r>
          </w:p>
          <w:p w:rsidR="00327C16" w:rsidRDefault="00327C16" w:rsidP="00B10B37">
            <w:pPr>
              <w:pStyle w:val="ListParagraph"/>
              <w:numPr>
                <w:ilvl w:val="1"/>
                <w:numId w:val="3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Made up of many proteins</w:t>
            </w:r>
          </w:p>
          <w:p w:rsidR="00327C16" w:rsidRDefault="00327C16" w:rsidP="00B10B37">
            <w:pPr>
              <w:pStyle w:val="ListParagraph"/>
              <w:numPr>
                <w:ilvl w:val="1"/>
                <w:numId w:val="3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Central alpha helix domain</w:t>
            </w:r>
          </w:p>
          <w:p w:rsidR="00327C16" w:rsidRDefault="00327C16" w:rsidP="00B10B37">
            <w:pPr>
              <w:pStyle w:val="ListParagraph"/>
              <w:numPr>
                <w:ilvl w:val="1"/>
                <w:numId w:val="3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Globular domains</w:t>
            </w:r>
          </w:p>
          <w:p w:rsidR="00327C16" w:rsidRDefault="00327C16" w:rsidP="00B10B37">
            <w:pPr>
              <w:pStyle w:val="ListParagraph"/>
              <w:numPr>
                <w:ilvl w:val="1"/>
                <w:numId w:val="3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 xml:space="preserve">2 α-helix domains (2° structure) coiled into a </w:t>
            </w:r>
            <w:r>
              <w:rPr>
                <w:rFonts w:ascii="Cambria Math" w:hAnsi="Cambria Math"/>
              </w:rPr>
              <w:lastRenderedPageBreak/>
              <w:t>Dimer (coil</w:t>
            </w:r>
            <w:r w:rsidR="005C6BF3">
              <w:rPr>
                <w:rFonts w:ascii="Cambria Math" w:hAnsi="Cambria Math"/>
              </w:rPr>
              <w:t>ed –</w:t>
            </w:r>
            <w:r>
              <w:rPr>
                <w:rFonts w:ascii="Cambria Math" w:hAnsi="Cambria Math"/>
              </w:rPr>
              <w:t>coil</w:t>
            </w:r>
            <w:r w:rsidR="005C6BF3">
              <w:rPr>
                <w:rFonts w:ascii="Cambria Math" w:hAnsi="Cambria Math"/>
              </w:rPr>
              <w:t xml:space="preserve"> </w:t>
            </w:r>
            <w:r>
              <w:rPr>
                <w:rFonts w:ascii="Cambria Math" w:hAnsi="Cambria Math"/>
              </w:rPr>
              <w:t>dimer)</w:t>
            </w:r>
          </w:p>
          <w:p w:rsidR="00327C16" w:rsidRDefault="00327C16" w:rsidP="00B10B37">
            <w:pPr>
              <w:pStyle w:val="ListParagraph"/>
              <w:numPr>
                <w:ilvl w:val="1"/>
                <w:numId w:val="3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2 dimers come together to form a protofilament (tetrameter)</w:t>
            </w:r>
          </w:p>
          <w:p w:rsidR="00327C16" w:rsidRPr="00497F61" w:rsidRDefault="00327C16" w:rsidP="00B10B37">
            <w:pPr>
              <w:pStyle w:val="ListParagraph"/>
              <w:numPr>
                <w:ilvl w:val="1"/>
                <w:numId w:val="3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8 protofilaments form a filament</w:t>
            </w:r>
          </w:p>
          <w:p w:rsidR="00327C16" w:rsidRPr="0044658C" w:rsidRDefault="00327C16" w:rsidP="0062354E">
            <w:pPr>
              <w:jc w:val="center"/>
              <w:rPr>
                <w:rFonts w:ascii="Cambria Math" w:hAnsi="Cambria Math"/>
              </w:rPr>
            </w:pPr>
            <w:r w:rsidRPr="0044658C">
              <w:rPr>
                <w:rFonts w:ascii="Cambria Math" w:hAnsi="Cambria Math"/>
                <w:noProof/>
                <w:lang w:eastAsia="en-CA"/>
              </w:rPr>
              <w:drawing>
                <wp:inline distT="0" distB="0" distL="0" distR="0">
                  <wp:extent cx="1733550" cy="3762375"/>
                  <wp:effectExtent l="19050" t="0" r="0" b="0"/>
                  <wp:docPr id="11" name="Picture 1" descr="0424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5" descr="0424.jpg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/>
                          <a:srcRect l="62933" b="130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6538" cy="37688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</w:tcPr>
          <w:p w:rsidR="00B10B37" w:rsidRPr="00B10B37" w:rsidRDefault="00B10B37" w:rsidP="00B10B37">
            <w:pPr>
              <w:jc w:val="center"/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lastRenderedPageBreak/>
              <w:t>ARRAYS FOUND IN ALL EUKARYOTIC CELLS</w:t>
            </w:r>
          </w:p>
          <w:p w:rsidR="00327C16" w:rsidRDefault="00327C16" w:rsidP="0062354E">
            <w:pPr>
              <w:pStyle w:val="ListParagraph"/>
              <w:numPr>
                <w:ilvl w:val="0"/>
                <w:numId w:val="4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 xml:space="preserve">Flexible helical fibres </w:t>
            </w:r>
          </w:p>
          <w:p w:rsidR="00B10B37" w:rsidRDefault="00327C16" w:rsidP="00B10B37">
            <w:pPr>
              <w:pStyle w:val="ListParagraph"/>
              <w:numPr>
                <w:ilvl w:val="0"/>
                <w:numId w:val="4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7nm in diameter</w:t>
            </w:r>
          </w:p>
          <w:p w:rsidR="00B10B37" w:rsidRPr="00B10B37" w:rsidRDefault="00B10B37" w:rsidP="00B10B37">
            <w:pPr>
              <w:pStyle w:val="ListParagraph"/>
              <w:numPr>
                <w:ilvl w:val="0"/>
                <w:numId w:val="4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Structure:</w:t>
            </w:r>
          </w:p>
          <w:p w:rsidR="00327C16" w:rsidRDefault="00327C16" w:rsidP="00B10B37">
            <w:pPr>
              <w:pStyle w:val="ListParagraph"/>
              <w:numPr>
                <w:ilvl w:val="1"/>
                <w:numId w:val="4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 xml:space="preserve">Made up </w:t>
            </w:r>
            <w:r w:rsidR="00D97120">
              <w:rPr>
                <w:rFonts w:ascii="Cambria Math" w:hAnsi="Cambria Math"/>
              </w:rPr>
              <w:t>1 type of protein:</w:t>
            </w:r>
            <w:r>
              <w:rPr>
                <w:rFonts w:ascii="Cambria Math" w:hAnsi="Cambria Math"/>
              </w:rPr>
              <w:t xml:space="preserve"> U shaped with ATP binding site</w:t>
            </w:r>
          </w:p>
          <w:p w:rsidR="00327C16" w:rsidRDefault="00327C16" w:rsidP="00B10B37">
            <w:pPr>
              <w:pStyle w:val="ListParagraph"/>
              <w:numPr>
                <w:ilvl w:val="1"/>
                <w:numId w:val="4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Noncovalent interactions : easy to break down</w:t>
            </w:r>
          </w:p>
          <w:p w:rsidR="00D97120" w:rsidRDefault="00D97120" w:rsidP="00B10B37">
            <w:pPr>
              <w:pStyle w:val="ListParagraph"/>
              <w:numPr>
                <w:ilvl w:val="1"/>
                <w:numId w:val="4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Microfilament = 2 stings of F-Actin wound (twisted) around each other.</w:t>
            </w:r>
          </w:p>
          <w:p w:rsidR="00B10B37" w:rsidRDefault="00B10B37" w:rsidP="00B10B37">
            <w:pPr>
              <w:pStyle w:val="ListParagraph"/>
              <w:numPr>
                <w:ilvl w:val="1"/>
                <w:numId w:val="4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G-Actin and F-Actin</w:t>
            </w:r>
          </w:p>
          <w:p w:rsidR="00327C16" w:rsidRDefault="00327C16" w:rsidP="0062354E">
            <w:pPr>
              <w:pStyle w:val="ListParagraph"/>
              <w:numPr>
                <w:ilvl w:val="0"/>
                <w:numId w:val="4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 xml:space="preserve">G-Actin </w:t>
            </w:r>
          </w:p>
          <w:p w:rsidR="00327C16" w:rsidRDefault="00D97120" w:rsidP="0062354E">
            <w:pPr>
              <w:pStyle w:val="ListParagraph"/>
              <w:numPr>
                <w:ilvl w:val="1"/>
                <w:numId w:val="4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 xml:space="preserve">Individual </w:t>
            </w:r>
            <w:r w:rsidR="00327C16">
              <w:rPr>
                <w:rFonts w:ascii="Cambria Math" w:hAnsi="Cambria Math"/>
              </w:rPr>
              <w:t>Monomer</w:t>
            </w:r>
          </w:p>
          <w:p w:rsidR="00327C16" w:rsidRDefault="00327C16" w:rsidP="0062354E">
            <w:pPr>
              <w:pStyle w:val="ListParagraph"/>
              <w:numPr>
                <w:ilvl w:val="1"/>
                <w:numId w:val="4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lastRenderedPageBreak/>
              <w:t>Binds ATP or ADP</w:t>
            </w:r>
          </w:p>
          <w:p w:rsidR="00327C16" w:rsidRDefault="00327C16" w:rsidP="0062354E">
            <w:pPr>
              <w:pStyle w:val="ListParagraph"/>
              <w:numPr>
                <w:ilvl w:val="0"/>
                <w:numId w:val="4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 xml:space="preserve">F-Actin </w:t>
            </w:r>
          </w:p>
          <w:p w:rsidR="00327C16" w:rsidRDefault="00327C16" w:rsidP="0062354E">
            <w:pPr>
              <w:pStyle w:val="ListParagraph"/>
              <w:numPr>
                <w:ilvl w:val="1"/>
                <w:numId w:val="4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Polymer of G-Actin monomers</w:t>
            </w:r>
          </w:p>
          <w:p w:rsidR="00D97120" w:rsidRPr="00D97120" w:rsidRDefault="00327C16" w:rsidP="00D97120">
            <w:pPr>
              <w:pStyle w:val="ListParagraph"/>
              <w:numPr>
                <w:ilvl w:val="1"/>
                <w:numId w:val="4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Helical shape</w:t>
            </w:r>
          </w:p>
          <w:p w:rsidR="00327C16" w:rsidRDefault="00327C16" w:rsidP="0062354E">
            <w:pPr>
              <w:pStyle w:val="ListParagraph"/>
              <w:numPr>
                <w:ilvl w:val="1"/>
                <w:numId w:val="4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Polarity (+ top end, - bottom end)</w:t>
            </w:r>
          </w:p>
          <w:p w:rsidR="00327C16" w:rsidRDefault="00327C16" w:rsidP="0062354E">
            <w:pPr>
              <w:pStyle w:val="ListParagraph"/>
              <w:numPr>
                <w:ilvl w:val="1"/>
                <w:numId w:val="4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Grows in the + direction</w:t>
            </w:r>
          </w:p>
          <w:p w:rsidR="00327C16" w:rsidRDefault="00327C16" w:rsidP="0062354E">
            <w:pPr>
              <w:pStyle w:val="ListParagraph"/>
              <w:numPr>
                <w:ilvl w:val="1"/>
                <w:numId w:val="4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Shrinks in the – direction</w:t>
            </w:r>
          </w:p>
          <w:p w:rsidR="00327C16" w:rsidRDefault="00327C16" w:rsidP="0062354E">
            <w:pPr>
              <w:pStyle w:val="ListParagraph"/>
              <w:numPr>
                <w:ilvl w:val="1"/>
                <w:numId w:val="4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Slow to get started</w:t>
            </w:r>
          </w:p>
          <w:p w:rsidR="00D97120" w:rsidRDefault="00D97120" w:rsidP="00D97120">
            <w:pPr>
              <w:pStyle w:val="ListParagraph"/>
              <w:rPr>
                <w:rFonts w:ascii="Cambria Math" w:hAnsi="Cambria Math"/>
              </w:rPr>
            </w:pPr>
          </w:p>
          <w:p w:rsidR="00327C16" w:rsidRPr="00497F61" w:rsidRDefault="00327C16" w:rsidP="0062354E">
            <w:pPr>
              <w:jc w:val="center"/>
              <w:rPr>
                <w:rFonts w:ascii="Cambria Math" w:hAnsi="Cambria Math"/>
              </w:rPr>
            </w:pPr>
            <w:r w:rsidRPr="00497F61">
              <w:rPr>
                <w:rFonts w:ascii="Cambria Math" w:hAnsi="Cambria Math"/>
                <w:noProof/>
                <w:lang w:eastAsia="en-CA"/>
              </w:rPr>
              <w:drawing>
                <wp:inline distT="0" distB="0" distL="0" distR="0">
                  <wp:extent cx="1324841" cy="3435927"/>
                  <wp:effectExtent l="19050" t="0" r="8659" b="0"/>
                  <wp:docPr id="12" name="Picture 2" descr="C02_F22b_pg039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Picture 30" descr="C02_F22b_pg039.jpg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/>
                          <a:srcRect l="81009" t="10693" r="59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0562" cy="34507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</w:tcPr>
          <w:p w:rsidR="00B10B37" w:rsidRPr="00B10B37" w:rsidRDefault="00B10B37" w:rsidP="00B10B37">
            <w:pPr>
              <w:jc w:val="center"/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lastRenderedPageBreak/>
              <w:t>ARRAYS FOUND IN ALL EUKARYOTIC CELLS</w:t>
            </w:r>
          </w:p>
          <w:p w:rsidR="00327C16" w:rsidRPr="00B10B37" w:rsidRDefault="00327C16" w:rsidP="00B10B37">
            <w:pPr>
              <w:pStyle w:val="ListParagraph"/>
              <w:numPr>
                <w:ilvl w:val="0"/>
                <w:numId w:val="4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 xml:space="preserve">Hollow Tubular structure </w:t>
            </w:r>
            <w:r w:rsidR="00B10B37">
              <w:rPr>
                <w:rFonts w:ascii="Cambria Math" w:hAnsi="Cambria Math"/>
              </w:rPr>
              <w:t>(</w:t>
            </w:r>
            <w:r w:rsidRPr="00B10B37">
              <w:rPr>
                <w:rFonts w:ascii="Cambria Math" w:hAnsi="Cambria Math"/>
              </w:rPr>
              <w:t>Like a “tent pole”</w:t>
            </w:r>
            <w:r w:rsidR="00B10B37">
              <w:rPr>
                <w:rFonts w:ascii="Cambria Math" w:hAnsi="Cambria Math"/>
              </w:rPr>
              <w:t>)</w:t>
            </w:r>
          </w:p>
          <w:p w:rsidR="00327C16" w:rsidRDefault="00B10B37" w:rsidP="0062354E">
            <w:pPr>
              <w:pStyle w:val="ListParagraph"/>
              <w:numPr>
                <w:ilvl w:val="0"/>
                <w:numId w:val="4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Ridgid structure (break rather then flex)</w:t>
            </w:r>
          </w:p>
          <w:p w:rsidR="00B10B37" w:rsidRDefault="00B10B37" w:rsidP="0062354E">
            <w:pPr>
              <w:pStyle w:val="ListParagraph"/>
              <w:numPr>
                <w:ilvl w:val="0"/>
                <w:numId w:val="4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Structure:</w:t>
            </w:r>
          </w:p>
          <w:p w:rsidR="00327C16" w:rsidRDefault="00327C16" w:rsidP="00B10B37">
            <w:pPr>
              <w:pStyle w:val="ListParagraph"/>
              <w:numPr>
                <w:ilvl w:val="1"/>
                <w:numId w:val="4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Single type of protein: tubulin</w:t>
            </w:r>
          </w:p>
          <w:p w:rsidR="00327C16" w:rsidRDefault="00327C16" w:rsidP="00B10B37">
            <w:pPr>
              <w:pStyle w:val="ListParagraph"/>
              <w:numPr>
                <w:ilvl w:val="1"/>
                <w:numId w:val="4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Herterodimer (unlike monomer )</w:t>
            </w:r>
          </w:p>
          <w:p w:rsidR="00B10B37" w:rsidRPr="00C55FAF" w:rsidRDefault="00327C16" w:rsidP="00C55FAF">
            <w:pPr>
              <w:pStyle w:val="ListParagraph"/>
              <w:numPr>
                <w:ilvl w:val="1"/>
                <w:numId w:val="4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Alpha (bottom)and Beta (top)Tubulin</w:t>
            </w:r>
            <w:r w:rsidR="00C55FAF">
              <w:rPr>
                <w:rFonts w:ascii="Cambria Math" w:hAnsi="Cambria Math"/>
              </w:rPr>
              <w:t xml:space="preserve"> (BIND AS DIMERS)</w:t>
            </w:r>
          </w:p>
          <w:p w:rsidR="00327C16" w:rsidRDefault="00327C16" w:rsidP="00B10B37">
            <w:pPr>
              <w:pStyle w:val="ListParagraph"/>
              <w:numPr>
                <w:ilvl w:val="1"/>
                <w:numId w:val="4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Binds GTP (wit</w:t>
            </w:r>
            <w:r w:rsidR="00B10B37">
              <w:rPr>
                <w:rFonts w:ascii="Cambria Math" w:hAnsi="Cambria Math"/>
              </w:rPr>
              <w:t>h</w:t>
            </w:r>
            <w:r>
              <w:rPr>
                <w:rFonts w:ascii="Cambria Math" w:hAnsi="Cambria Math"/>
              </w:rPr>
              <w:t>in globular structure of protein</w:t>
            </w:r>
          </w:p>
          <w:p w:rsidR="00327C16" w:rsidRDefault="00327C16" w:rsidP="00B10B37">
            <w:pPr>
              <w:pStyle w:val="ListParagraph"/>
              <w:numPr>
                <w:ilvl w:val="1"/>
                <w:numId w:val="4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lastRenderedPageBreak/>
              <w:t>α GTP does not get hydrolized</w:t>
            </w:r>
          </w:p>
          <w:p w:rsidR="00327C16" w:rsidRDefault="00327C16" w:rsidP="00B10B37">
            <w:pPr>
              <w:pStyle w:val="ListParagraph"/>
              <w:numPr>
                <w:ilvl w:val="1"/>
                <w:numId w:val="4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βGTP can get hydroliz</w:t>
            </w:r>
            <w:r w:rsidR="00B10B37">
              <w:rPr>
                <w:rFonts w:ascii="Cambria Math" w:hAnsi="Cambria Math"/>
              </w:rPr>
              <w:t>ed to GDP (molecule less stable →</w:t>
            </w:r>
            <w:r>
              <w:rPr>
                <w:rFonts w:ascii="Cambria Math" w:hAnsi="Cambria Math"/>
              </w:rPr>
              <w:t xml:space="preserve"> disscociation)</w:t>
            </w:r>
          </w:p>
          <w:p w:rsidR="00327C16" w:rsidRDefault="00327C16" w:rsidP="00B10B37">
            <w:pPr>
              <w:pStyle w:val="ListParagraph"/>
              <w:numPr>
                <w:ilvl w:val="1"/>
                <w:numId w:val="4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-ve end (alpha)</w:t>
            </w:r>
          </w:p>
          <w:p w:rsidR="00327C16" w:rsidRDefault="00327C16" w:rsidP="00B10B37">
            <w:pPr>
              <w:pStyle w:val="ListParagraph"/>
              <w:numPr>
                <w:ilvl w:val="1"/>
                <w:numId w:val="4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+ve end (beta)</w:t>
            </w:r>
          </w:p>
          <w:p w:rsidR="00327C16" w:rsidRDefault="00327C16" w:rsidP="00B10B37">
            <w:pPr>
              <w:pStyle w:val="ListParagraph"/>
              <w:numPr>
                <w:ilvl w:val="1"/>
                <w:numId w:val="4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 xml:space="preserve">String </w:t>
            </w:r>
            <w:r w:rsidR="00C55FAF">
              <w:rPr>
                <w:rFonts w:ascii="Cambria Math" w:hAnsi="Cambria Math"/>
              </w:rPr>
              <w:t xml:space="preserve"> dimmers </w:t>
            </w:r>
            <w:r>
              <w:rPr>
                <w:rFonts w:ascii="Cambria Math" w:hAnsi="Cambria Math"/>
              </w:rPr>
              <w:t>into protofilaments</w:t>
            </w:r>
          </w:p>
          <w:p w:rsidR="00327C16" w:rsidRDefault="00327C16" w:rsidP="00B10B37">
            <w:pPr>
              <w:pStyle w:val="ListParagraph"/>
              <w:numPr>
                <w:ilvl w:val="1"/>
                <w:numId w:val="4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13 protofilaments</w:t>
            </w:r>
            <w:r w:rsidR="00C55FAF">
              <w:rPr>
                <w:rFonts w:ascii="Cambria Math" w:hAnsi="Cambria Math"/>
              </w:rPr>
              <w:t xml:space="preserve"> formed as a cylinder</w:t>
            </w:r>
            <w:r>
              <w:rPr>
                <w:rFonts w:ascii="Cambria Math" w:hAnsi="Cambria Math"/>
              </w:rPr>
              <w:t xml:space="preserve"> = microtubule</w:t>
            </w:r>
          </w:p>
          <w:p w:rsidR="00327C16" w:rsidRDefault="00327C16" w:rsidP="00B10B37">
            <w:pPr>
              <w:pStyle w:val="ListParagraph"/>
              <w:numPr>
                <w:ilvl w:val="1"/>
                <w:numId w:val="4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Non-covalent interactions (dynamic, breaks down easily)</w:t>
            </w:r>
          </w:p>
          <w:p w:rsidR="00327C16" w:rsidRDefault="00981171" w:rsidP="00B10B37">
            <w:pPr>
              <w:pStyle w:val="ListParagraph"/>
              <w:numPr>
                <w:ilvl w:val="1"/>
                <w:numId w:val="4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Slow to get star</w:t>
            </w:r>
            <w:r w:rsidR="00327C16">
              <w:rPr>
                <w:rFonts w:ascii="Cambria Math" w:hAnsi="Cambria Math"/>
              </w:rPr>
              <w:t>ted</w:t>
            </w:r>
          </w:p>
          <w:p w:rsidR="00327C16" w:rsidRPr="00FA2661" w:rsidRDefault="00327C16" w:rsidP="0062354E">
            <w:pPr>
              <w:rPr>
                <w:rFonts w:ascii="Cambria Math" w:hAnsi="Cambria Math"/>
              </w:rPr>
            </w:pPr>
            <w:r w:rsidRPr="00FA2661">
              <w:rPr>
                <w:rFonts w:ascii="Cambria Math" w:hAnsi="Cambria Math"/>
                <w:noProof/>
                <w:lang w:eastAsia="en-CA"/>
              </w:rPr>
              <w:drawing>
                <wp:inline distT="0" distB="0" distL="0" distR="0">
                  <wp:extent cx="2009775" cy="3895725"/>
                  <wp:effectExtent l="19050" t="0" r="9525" b="0"/>
                  <wp:docPr id="13" name="Picture 3" descr="17_10_tubes_tubulin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780" name="Picture 28" descr="17_10_tubes_tubul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l="16658" t="1691" r="38031" b="59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1711" cy="389947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27C16" w:rsidRDefault="00327C16" w:rsidP="00836401">
      <w:pPr>
        <w:spacing w:after="0"/>
        <w:rPr>
          <w:rFonts w:ascii="Cambria Math" w:hAnsi="Cambria Math"/>
        </w:rPr>
      </w:pPr>
    </w:p>
    <w:p w:rsidR="00836401" w:rsidRPr="00327C16" w:rsidRDefault="00836401" w:rsidP="00836401">
      <w:pPr>
        <w:spacing w:after="0"/>
        <w:rPr>
          <w:rFonts w:ascii="Cambria Math" w:hAnsi="Cambria Math"/>
          <w:b/>
        </w:rPr>
      </w:pPr>
      <w:r w:rsidRPr="00327C16">
        <w:rPr>
          <w:rFonts w:ascii="Cambria Math" w:hAnsi="Cambria Math"/>
          <w:b/>
        </w:rPr>
        <w:t>4. Describe the structural/support roles of microfilaments and intermediate filaments</w:t>
      </w:r>
    </w:p>
    <w:tbl>
      <w:tblPr>
        <w:tblStyle w:val="TableGrid"/>
        <w:tblW w:w="0" w:type="auto"/>
        <w:tblLook w:val="04A0"/>
      </w:tblPr>
      <w:tblGrid>
        <w:gridCol w:w="4788"/>
        <w:gridCol w:w="4788"/>
      </w:tblGrid>
      <w:tr w:rsidR="00327C16" w:rsidTr="0062354E">
        <w:tc>
          <w:tcPr>
            <w:tcW w:w="4788" w:type="dxa"/>
          </w:tcPr>
          <w:p w:rsidR="00327C16" w:rsidRDefault="00327C16" w:rsidP="0062354E">
            <w:p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Intermediate Filaments</w:t>
            </w:r>
          </w:p>
        </w:tc>
        <w:tc>
          <w:tcPr>
            <w:tcW w:w="4788" w:type="dxa"/>
          </w:tcPr>
          <w:p w:rsidR="00327C16" w:rsidRDefault="00327C16" w:rsidP="0062354E">
            <w:p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Microfilaments</w:t>
            </w:r>
          </w:p>
        </w:tc>
      </w:tr>
      <w:tr w:rsidR="00327C16" w:rsidRPr="00F26E60" w:rsidTr="0062354E">
        <w:tc>
          <w:tcPr>
            <w:tcW w:w="4788" w:type="dxa"/>
          </w:tcPr>
          <w:p w:rsidR="00F111E8" w:rsidRDefault="00F111E8" w:rsidP="0062354E">
            <w:pPr>
              <w:pStyle w:val="ListParagraph"/>
              <w:numPr>
                <w:ilvl w:val="0"/>
                <w:numId w:val="5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 xml:space="preserve">Very stable </w:t>
            </w:r>
          </w:p>
          <w:p w:rsidR="00327C16" w:rsidRDefault="00327C16" w:rsidP="0062354E">
            <w:pPr>
              <w:pStyle w:val="ListParagraph"/>
              <w:numPr>
                <w:ilvl w:val="0"/>
                <w:numId w:val="5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Mechanical Strength in Animal Cells</w:t>
            </w:r>
          </w:p>
          <w:p w:rsidR="00327C16" w:rsidRDefault="00327C16" w:rsidP="0062354E">
            <w:pPr>
              <w:pStyle w:val="ListParagraph"/>
              <w:numPr>
                <w:ilvl w:val="1"/>
                <w:numId w:val="5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Shape of cell</w:t>
            </w:r>
          </w:p>
          <w:p w:rsidR="00F111E8" w:rsidRDefault="00F111E8" w:rsidP="0062354E">
            <w:pPr>
              <w:pStyle w:val="ListParagraph"/>
              <w:numPr>
                <w:ilvl w:val="1"/>
                <w:numId w:val="5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Support of cell</w:t>
            </w:r>
          </w:p>
          <w:p w:rsidR="00F111E8" w:rsidRDefault="00F111E8" w:rsidP="0062354E">
            <w:pPr>
              <w:pStyle w:val="ListParagraph"/>
              <w:numPr>
                <w:ilvl w:val="0"/>
                <w:numId w:val="5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 xml:space="preserve">Can be dynamic: </w:t>
            </w:r>
          </w:p>
          <w:p w:rsidR="00327C16" w:rsidRDefault="00F111E8" w:rsidP="00F111E8">
            <w:pPr>
              <w:pStyle w:val="ListParagraph"/>
              <w:numPr>
                <w:ilvl w:val="1"/>
                <w:numId w:val="5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 xml:space="preserve">i.e. </w:t>
            </w:r>
            <w:r w:rsidR="00327C16" w:rsidRPr="00A92510">
              <w:rPr>
                <w:rFonts w:ascii="Cambria Math" w:hAnsi="Cambria Math"/>
              </w:rPr>
              <w:t>Nuclear Lamins give nucleus its shape (support nuclear envelope)</w:t>
            </w:r>
          </w:p>
          <w:p w:rsidR="00F111E8" w:rsidRPr="00A92510" w:rsidRDefault="00F111E8" w:rsidP="00F111E8">
            <w:pPr>
              <w:pStyle w:val="ListParagraph"/>
              <w:numPr>
                <w:ilvl w:val="1"/>
                <w:numId w:val="5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lastRenderedPageBreak/>
              <w:t>Have to be broken down and built up again when the nucleus is broken down and built up again</w:t>
            </w:r>
          </w:p>
          <w:p w:rsidR="00327C16" w:rsidRDefault="00F111E8" w:rsidP="0062354E">
            <w:pPr>
              <w:pStyle w:val="ListParagraph"/>
              <w:numPr>
                <w:ilvl w:val="0"/>
                <w:numId w:val="5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 xml:space="preserve">i.e. </w:t>
            </w:r>
            <w:r w:rsidR="00327C16">
              <w:rPr>
                <w:rFonts w:ascii="Cambria Math" w:hAnsi="Cambria Math"/>
              </w:rPr>
              <w:t>Axon: (support structure of fragile cell)</w:t>
            </w:r>
          </w:p>
          <w:p w:rsidR="00327C16" w:rsidRDefault="00327C16" w:rsidP="0062354E">
            <w:pPr>
              <w:pStyle w:val="ListParagraph"/>
              <w:numPr>
                <w:ilvl w:val="0"/>
                <w:numId w:val="5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i.e epithelial cells</w:t>
            </w:r>
          </w:p>
          <w:p w:rsidR="00327C16" w:rsidRDefault="00327C16" w:rsidP="0062354E">
            <w:pPr>
              <w:pStyle w:val="ListParagraph"/>
              <w:numPr>
                <w:ilvl w:val="1"/>
                <w:numId w:val="5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 xml:space="preserve"> keratin network of fibres supporting the cell and connections between cells</w:t>
            </w:r>
          </w:p>
          <w:p w:rsidR="00F111E8" w:rsidRDefault="00F111E8" w:rsidP="00F111E8">
            <w:pPr>
              <w:pStyle w:val="ListParagraph"/>
              <w:numPr>
                <w:ilvl w:val="0"/>
                <w:numId w:val="5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i.e. Desmosomes (intermediate filament tie cells together via these junctions)</w:t>
            </w:r>
          </w:p>
          <w:p w:rsidR="00F111E8" w:rsidRDefault="00F111E8" w:rsidP="00F111E8">
            <w:pPr>
              <w:pStyle w:val="ListParagraph"/>
              <w:numPr>
                <w:ilvl w:val="0"/>
                <w:numId w:val="5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all cells have nuclear lamins therefore all cells have IFs</w:t>
            </w:r>
          </w:p>
          <w:p w:rsidR="00327C16" w:rsidRPr="0091697B" w:rsidRDefault="00327C16" w:rsidP="0062354E">
            <w:pPr>
              <w:rPr>
                <w:rFonts w:ascii="Cambria Math" w:hAnsi="Cambria Math"/>
              </w:rPr>
            </w:pPr>
          </w:p>
        </w:tc>
        <w:tc>
          <w:tcPr>
            <w:tcW w:w="4788" w:type="dxa"/>
          </w:tcPr>
          <w:p w:rsidR="0025037E" w:rsidRDefault="0025037E" w:rsidP="0025037E">
            <w:pPr>
              <w:pStyle w:val="ListParagraph"/>
              <w:numPr>
                <w:ilvl w:val="0"/>
                <w:numId w:val="5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lastRenderedPageBreak/>
              <w:t>Function:</w:t>
            </w:r>
          </w:p>
          <w:p w:rsidR="0025037E" w:rsidRDefault="0025037E" w:rsidP="0025037E">
            <w:pPr>
              <w:pStyle w:val="ListParagraph"/>
              <w:numPr>
                <w:ilvl w:val="1"/>
                <w:numId w:val="5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 xml:space="preserve">Shape/support of cells </w:t>
            </w:r>
          </w:p>
          <w:p w:rsidR="0025037E" w:rsidRDefault="0025037E" w:rsidP="0025037E">
            <w:pPr>
              <w:pStyle w:val="ListParagraph"/>
              <w:numPr>
                <w:ilvl w:val="2"/>
                <w:numId w:val="5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 xml:space="preserve"> Support the plasma membrane</w:t>
            </w:r>
          </w:p>
          <w:p w:rsidR="0025037E" w:rsidRDefault="0025037E" w:rsidP="0025037E">
            <w:pPr>
              <w:pStyle w:val="ListParagraph"/>
              <w:numPr>
                <w:ilvl w:val="2"/>
                <w:numId w:val="5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 xml:space="preserve"> Network of MF: cell cortex</w:t>
            </w:r>
          </w:p>
          <w:p w:rsidR="0025037E" w:rsidRDefault="0025037E" w:rsidP="0025037E">
            <w:pPr>
              <w:pStyle w:val="ListParagraph"/>
              <w:numPr>
                <w:ilvl w:val="3"/>
                <w:numId w:val="5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Lies beneath the cell membrane</w:t>
            </w:r>
          </w:p>
          <w:p w:rsidR="0025037E" w:rsidRDefault="0025037E" w:rsidP="0025037E">
            <w:pPr>
              <w:pStyle w:val="ListParagraph"/>
              <w:numPr>
                <w:ilvl w:val="3"/>
                <w:numId w:val="5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Links to plasma membrance peiphreal mb proteins</w:t>
            </w:r>
          </w:p>
          <w:p w:rsidR="0025037E" w:rsidRDefault="0025037E" w:rsidP="0025037E">
            <w:pPr>
              <w:pStyle w:val="ListParagraph"/>
              <w:numPr>
                <w:ilvl w:val="3"/>
                <w:numId w:val="5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lastRenderedPageBreak/>
              <w:t xml:space="preserve">Like a hairnet </w:t>
            </w:r>
          </w:p>
          <w:p w:rsidR="00F71821" w:rsidRDefault="00F71821" w:rsidP="0025037E">
            <w:pPr>
              <w:pStyle w:val="ListParagraph"/>
              <w:numPr>
                <w:ilvl w:val="3"/>
                <w:numId w:val="5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Reasonable stable but not as stable. (if  shape changes, cell cortex changes)</w:t>
            </w:r>
          </w:p>
          <w:p w:rsidR="0025037E" w:rsidRDefault="0025037E" w:rsidP="0025037E">
            <w:pPr>
              <w:pStyle w:val="ListParagraph"/>
              <w:numPr>
                <w:ilvl w:val="2"/>
                <w:numId w:val="5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Bundles of MF: Microvili</w:t>
            </w:r>
          </w:p>
          <w:p w:rsidR="0025037E" w:rsidRPr="0025037E" w:rsidRDefault="0025037E" w:rsidP="0025037E">
            <w:pPr>
              <w:pStyle w:val="ListParagraph"/>
              <w:numPr>
                <w:ilvl w:val="3"/>
                <w:numId w:val="5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In cell transport (</w:t>
            </w:r>
            <w:r w:rsidRPr="0025037E">
              <w:rPr>
                <w:rFonts w:ascii="Cambria Math" w:hAnsi="Cambria Math"/>
              </w:rPr>
              <w:t>i.e. kidney, intestine</w:t>
            </w:r>
            <w:r>
              <w:rPr>
                <w:rFonts w:ascii="Cambria Math" w:hAnsi="Cambria Math"/>
              </w:rPr>
              <w:t>)</w:t>
            </w:r>
          </w:p>
          <w:p w:rsidR="0025037E" w:rsidRDefault="0025037E" w:rsidP="0025037E">
            <w:pPr>
              <w:pStyle w:val="ListParagraph"/>
              <w:numPr>
                <w:ilvl w:val="3"/>
                <w:numId w:val="5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Shape given by a regular array of MF bundled into parallel fibres</w:t>
            </w:r>
          </w:p>
          <w:p w:rsidR="0025037E" w:rsidRDefault="0025037E" w:rsidP="0025037E">
            <w:pPr>
              <w:pStyle w:val="ListParagraph"/>
              <w:numPr>
                <w:ilvl w:val="3"/>
                <w:numId w:val="5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 xml:space="preserve">Oriented: - end towards the cell and + end at the tip of the micro villus </w:t>
            </w:r>
          </w:p>
          <w:p w:rsidR="00F71821" w:rsidRDefault="0025037E" w:rsidP="0025037E">
            <w:pPr>
              <w:pStyle w:val="ListParagraph"/>
              <w:numPr>
                <w:ilvl w:val="3"/>
                <w:numId w:val="5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 xml:space="preserve">Array of MF is stabilized </w:t>
            </w:r>
            <w:r w:rsidR="00F71821">
              <w:rPr>
                <w:rFonts w:ascii="Cambria Math" w:hAnsi="Cambria Math"/>
              </w:rPr>
              <w:t xml:space="preserve">(don’t break down) and linked together </w:t>
            </w:r>
            <w:r>
              <w:rPr>
                <w:rFonts w:ascii="Cambria Math" w:hAnsi="Cambria Math"/>
              </w:rPr>
              <w:t xml:space="preserve">by actin binding </w:t>
            </w:r>
            <w:r w:rsidR="00F71821">
              <w:rPr>
                <w:rFonts w:ascii="Cambria Math" w:hAnsi="Cambria Math"/>
              </w:rPr>
              <w:t xml:space="preserve">proteins </w:t>
            </w:r>
          </w:p>
          <w:p w:rsidR="0025037E" w:rsidRDefault="00F71821" w:rsidP="0025037E">
            <w:pPr>
              <w:pStyle w:val="ListParagraph"/>
              <w:numPr>
                <w:ilvl w:val="3"/>
                <w:numId w:val="5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Also linked to the plasma membrane along the sides and up at the top → provides the shape and the rigidity of the microvillus</w:t>
            </w:r>
          </w:p>
          <w:p w:rsidR="00F71821" w:rsidRDefault="00F71821" w:rsidP="0025037E">
            <w:pPr>
              <w:pStyle w:val="ListParagraph"/>
              <w:numPr>
                <w:ilvl w:val="3"/>
                <w:numId w:val="5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Bottom supported by a network of proteins that allows them to support the cell extensions</w:t>
            </w:r>
          </w:p>
          <w:p w:rsidR="0025037E" w:rsidRPr="00F71821" w:rsidRDefault="0025037E" w:rsidP="00F71821">
            <w:pPr>
              <w:pStyle w:val="ListParagraph"/>
              <w:numPr>
                <w:ilvl w:val="3"/>
                <w:numId w:val="5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tightly organized</w:t>
            </w:r>
          </w:p>
          <w:p w:rsidR="0025037E" w:rsidRDefault="0025037E" w:rsidP="0025037E">
            <w:pPr>
              <w:pStyle w:val="ListParagraph"/>
              <w:numPr>
                <w:ilvl w:val="1"/>
                <w:numId w:val="5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Cell Motility (movement: within the cell, of the cell or part of the cell)</w:t>
            </w:r>
          </w:p>
          <w:p w:rsidR="00E92665" w:rsidRDefault="00E92665" w:rsidP="00E92665">
            <w:pPr>
              <w:pStyle w:val="ListParagraph"/>
              <w:numPr>
                <w:ilvl w:val="2"/>
                <w:numId w:val="5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Motor proteins required</w:t>
            </w:r>
          </w:p>
          <w:p w:rsidR="00E92665" w:rsidRPr="0025037E" w:rsidRDefault="00E92665" w:rsidP="00E92665">
            <w:pPr>
              <w:pStyle w:val="ListParagraph"/>
              <w:numPr>
                <w:ilvl w:val="2"/>
                <w:numId w:val="5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Act as a track for the motor proteins to step along</w:t>
            </w:r>
          </w:p>
          <w:p w:rsidR="00327C16" w:rsidRDefault="00327C16" w:rsidP="00E92665">
            <w:pPr>
              <w:pStyle w:val="ListParagraph"/>
              <w:numPr>
                <w:ilvl w:val="1"/>
                <w:numId w:val="5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Adherens Junction</w:t>
            </w:r>
          </w:p>
          <w:p w:rsidR="00F71821" w:rsidRPr="00F71821" w:rsidRDefault="00513631" w:rsidP="00E92665">
            <w:pPr>
              <w:pStyle w:val="ListParagraph"/>
              <w:numPr>
                <w:ilvl w:val="2"/>
                <w:numId w:val="5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Stabi</w:t>
            </w:r>
            <w:r w:rsidR="00327C16">
              <w:rPr>
                <w:rFonts w:ascii="Cambria Math" w:hAnsi="Cambria Math"/>
              </w:rPr>
              <w:t>lizing cell to cell con</w:t>
            </w:r>
            <w:r>
              <w:rPr>
                <w:rFonts w:ascii="Cambria Math" w:hAnsi="Cambria Math"/>
              </w:rPr>
              <w:t>ne</w:t>
            </w:r>
            <w:r w:rsidR="00327C16">
              <w:rPr>
                <w:rFonts w:ascii="Cambria Math" w:hAnsi="Cambria Math"/>
              </w:rPr>
              <w:t>ctions</w:t>
            </w:r>
          </w:p>
        </w:tc>
      </w:tr>
    </w:tbl>
    <w:p w:rsidR="00327C16" w:rsidRDefault="00327C16" w:rsidP="00836401">
      <w:pPr>
        <w:spacing w:after="0"/>
        <w:rPr>
          <w:rFonts w:ascii="Cambria Math" w:hAnsi="Cambria Math"/>
        </w:rPr>
      </w:pPr>
    </w:p>
    <w:p w:rsidR="00836401" w:rsidRPr="00F111E8" w:rsidRDefault="00836401" w:rsidP="00836401">
      <w:pPr>
        <w:spacing w:after="0"/>
        <w:rPr>
          <w:rFonts w:ascii="Cambria Math" w:hAnsi="Cambria Math"/>
          <w:b/>
        </w:rPr>
      </w:pPr>
      <w:r w:rsidRPr="00F111E8">
        <w:rPr>
          <w:rFonts w:ascii="Cambria Math" w:hAnsi="Cambria Math"/>
          <w:b/>
        </w:rPr>
        <w:t>5. Discuss the basis and significance of microfilament lability, with examples</w:t>
      </w:r>
      <w:r w:rsidR="00981171" w:rsidRPr="00F111E8">
        <w:rPr>
          <w:rFonts w:ascii="Cambria Math" w:hAnsi="Cambria Math"/>
          <w:b/>
        </w:rPr>
        <w:t>. (lability= capable of changing, dynamic).</w:t>
      </w:r>
    </w:p>
    <w:p w:rsidR="00327C16" w:rsidRDefault="00D97120" w:rsidP="00F111E8">
      <w:pPr>
        <w:pStyle w:val="ListParagraph"/>
        <w:numPr>
          <w:ilvl w:val="0"/>
          <w:numId w:val="8"/>
        </w:numPr>
        <w:spacing w:after="0"/>
        <w:rPr>
          <w:rFonts w:ascii="Cambria Math" w:hAnsi="Cambria Math"/>
        </w:rPr>
      </w:pPr>
      <w:r>
        <w:rPr>
          <w:rFonts w:ascii="Cambria Math" w:hAnsi="Cambria Math"/>
        </w:rPr>
        <w:t>Can easily be broken down</w:t>
      </w:r>
      <w:r w:rsidR="00F244F0">
        <w:rPr>
          <w:rFonts w:ascii="Cambria Math" w:hAnsi="Cambria Math"/>
        </w:rPr>
        <w:t xml:space="preserve"> and put together</w:t>
      </w:r>
      <w:r>
        <w:rPr>
          <w:rFonts w:ascii="Cambria Math" w:hAnsi="Cambria Math"/>
        </w:rPr>
        <w:t xml:space="preserve"> due to monomers being held together by non-covalent interactions</w:t>
      </w:r>
    </w:p>
    <w:p w:rsidR="00D97120" w:rsidRDefault="00D97120" w:rsidP="00F111E8">
      <w:pPr>
        <w:pStyle w:val="ListParagraph"/>
        <w:numPr>
          <w:ilvl w:val="0"/>
          <w:numId w:val="8"/>
        </w:numPr>
        <w:spacing w:after="0"/>
        <w:rPr>
          <w:rFonts w:ascii="Cambria Math" w:hAnsi="Cambria Math"/>
        </w:rPr>
      </w:pPr>
      <w:r>
        <w:rPr>
          <w:rFonts w:ascii="Cambria Math" w:hAnsi="Cambria Math"/>
        </w:rPr>
        <w:t>Grows rapidly on + end</w:t>
      </w:r>
    </w:p>
    <w:p w:rsidR="00D97120" w:rsidRDefault="003D100A" w:rsidP="00D97120">
      <w:pPr>
        <w:pStyle w:val="ListParagraph"/>
        <w:numPr>
          <w:ilvl w:val="1"/>
          <w:numId w:val="8"/>
        </w:numPr>
        <w:spacing w:after="0"/>
        <w:rPr>
          <w:rFonts w:ascii="Cambria Math" w:hAnsi="Cambria Math"/>
        </w:rPr>
      </w:pPr>
      <w:r>
        <w:rPr>
          <w:rFonts w:ascii="Cambria Math" w:hAnsi="Cambria Math"/>
        </w:rPr>
        <w:t>End when filament grows</w:t>
      </w:r>
    </w:p>
    <w:p w:rsidR="003D100A" w:rsidRDefault="003D100A" w:rsidP="00D97120">
      <w:pPr>
        <w:pStyle w:val="ListParagraph"/>
        <w:numPr>
          <w:ilvl w:val="1"/>
          <w:numId w:val="8"/>
        </w:numPr>
        <w:spacing w:after="0"/>
        <w:rPr>
          <w:rFonts w:ascii="Cambria Math" w:hAnsi="Cambria Math"/>
        </w:rPr>
      </w:pPr>
      <w:r>
        <w:rPr>
          <w:rFonts w:ascii="Cambria Math" w:hAnsi="Cambria Math"/>
        </w:rPr>
        <w:t>G-Actin with ATP bound to it</w:t>
      </w:r>
    </w:p>
    <w:p w:rsidR="003D100A" w:rsidRPr="003D100A" w:rsidRDefault="00D97120" w:rsidP="003D100A">
      <w:pPr>
        <w:pStyle w:val="ListParagraph"/>
        <w:numPr>
          <w:ilvl w:val="0"/>
          <w:numId w:val="8"/>
        </w:numPr>
        <w:spacing w:after="0"/>
        <w:rPr>
          <w:rFonts w:ascii="Cambria Math" w:hAnsi="Cambria Math"/>
        </w:rPr>
      </w:pPr>
      <w:r>
        <w:rPr>
          <w:rFonts w:ascii="Cambria Math" w:hAnsi="Cambria Math"/>
        </w:rPr>
        <w:t>Shrinks rapidly on – end</w:t>
      </w:r>
    </w:p>
    <w:p w:rsidR="00D97120" w:rsidRDefault="00D97120" w:rsidP="00D97120">
      <w:pPr>
        <w:pStyle w:val="ListParagraph"/>
        <w:numPr>
          <w:ilvl w:val="1"/>
          <w:numId w:val="8"/>
        </w:numPr>
        <w:spacing w:after="0"/>
        <w:rPr>
          <w:rFonts w:ascii="Cambria Math" w:hAnsi="Cambria Math"/>
        </w:rPr>
      </w:pPr>
      <w:r>
        <w:rPr>
          <w:rFonts w:ascii="Cambria Math" w:hAnsi="Cambria Math"/>
        </w:rPr>
        <w:t>More likely to break due to hydrolysis of ATP to ADP (doesn’t polymerize well)</w:t>
      </w:r>
    </w:p>
    <w:p w:rsidR="00F52F5E" w:rsidRDefault="00D97120" w:rsidP="00F52F5E">
      <w:pPr>
        <w:pStyle w:val="ListParagraph"/>
        <w:numPr>
          <w:ilvl w:val="1"/>
          <w:numId w:val="8"/>
        </w:numPr>
        <w:spacing w:after="0"/>
        <w:rPr>
          <w:rFonts w:ascii="Cambria Math" w:hAnsi="Cambria Math"/>
        </w:rPr>
      </w:pPr>
      <w:r>
        <w:rPr>
          <w:rFonts w:ascii="Cambria Math" w:hAnsi="Cambria Math"/>
        </w:rPr>
        <w:t>More likely to dissociate</w:t>
      </w:r>
    </w:p>
    <w:p w:rsidR="00F52F5E" w:rsidRDefault="00F52F5E" w:rsidP="00F52F5E">
      <w:pPr>
        <w:pStyle w:val="ListParagraph"/>
        <w:numPr>
          <w:ilvl w:val="0"/>
          <w:numId w:val="8"/>
        </w:numPr>
        <w:spacing w:after="0"/>
        <w:rPr>
          <w:rFonts w:ascii="Cambria Math" w:hAnsi="Cambria Math"/>
        </w:rPr>
      </w:pPr>
      <w:r>
        <w:rPr>
          <w:rFonts w:ascii="Cambria Math" w:hAnsi="Cambria Math"/>
        </w:rPr>
        <w:t>If rate of addition is slower than rate of dissociation = shrink</w:t>
      </w:r>
    </w:p>
    <w:p w:rsidR="00F52F5E" w:rsidRDefault="00F52F5E" w:rsidP="00F52F5E">
      <w:pPr>
        <w:pStyle w:val="ListParagraph"/>
        <w:numPr>
          <w:ilvl w:val="0"/>
          <w:numId w:val="8"/>
        </w:numPr>
        <w:spacing w:after="0"/>
        <w:rPr>
          <w:rFonts w:ascii="Cambria Math" w:hAnsi="Cambria Math"/>
        </w:rPr>
      </w:pPr>
      <w:r>
        <w:rPr>
          <w:rFonts w:ascii="Cambria Math" w:hAnsi="Cambria Math"/>
        </w:rPr>
        <w:t>If rate of addition is faster than rate of dissociation = grow</w:t>
      </w:r>
    </w:p>
    <w:p w:rsidR="00F52F5E" w:rsidRDefault="00F52F5E" w:rsidP="00F52F5E">
      <w:pPr>
        <w:pStyle w:val="ListParagraph"/>
        <w:numPr>
          <w:ilvl w:val="0"/>
          <w:numId w:val="8"/>
        </w:numPr>
        <w:spacing w:after="0"/>
        <w:rPr>
          <w:rFonts w:ascii="Cambria Math" w:hAnsi="Cambria Math"/>
        </w:rPr>
      </w:pPr>
      <w:r>
        <w:rPr>
          <w:rFonts w:ascii="Cambria Math" w:hAnsi="Cambria Math"/>
        </w:rPr>
        <w:t>If rate of addition is equal to than rate of dissociation = stay the same length but turnover of Actin monomers</w:t>
      </w:r>
    </w:p>
    <w:p w:rsidR="009356B7" w:rsidRDefault="00F52F5E" w:rsidP="009356B7">
      <w:pPr>
        <w:pStyle w:val="ListParagraph"/>
        <w:numPr>
          <w:ilvl w:val="0"/>
          <w:numId w:val="8"/>
        </w:numPr>
        <w:spacing w:after="0"/>
        <w:rPr>
          <w:rFonts w:ascii="Cambria Math" w:hAnsi="Cambria Math"/>
        </w:rPr>
      </w:pPr>
      <w:r>
        <w:rPr>
          <w:rFonts w:ascii="Cambria Math" w:hAnsi="Cambria Math"/>
        </w:rPr>
        <w:t>Speed, direction of growth, form of growth r</w:t>
      </w:r>
      <w:r w:rsidRPr="00F52F5E">
        <w:rPr>
          <w:rFonts w:ascii="Cambria Math" w:hAnsi="Cambria Math"/>
        </w:rPr>
        <w:t>egulated by the cell to meet the requirements of the cell for intracellular movement and cell movement</w:t>
      </w:r>
    </w:p>
    <w:p w:rsidR="009356B7" w:rsidRDefault="009356B7" w:rsidP="009356B7">
      <w:pPr>
        <w:pStyle w:val="ListParagraph"/>
        <w:numPr>
          <w:ilvl w:val="1"/>
          <w:numId w:val="8"/>
        </w:numPr>
        <w:spacing w:after="0"/>
        <w:rPr>
          <w:rFonts w:ascii="Cambria Math" w:hAnsi="Cambria Math"/>
        </w:rPr>
      </w:pPr>
      <w:r>
        <w:rPr>
          <w:rFonts w:ascii="Cambria Math" w:hAnsi="Cambria Math"/>
        </w:rPr>
        <w:lastRenderedPageBreak/>
        <w:t>Gives the cell flexibility in terms of controlling MF formation and shape of MF</w:t>
      </w:r>
    </w:p>
    <w:p w:rsidR="009356B7" w:rsidRDefault="009356B7" w:rsidP="009356B7">
      <w:pPr>
        <w:pStyle w:val="ListParagraph"/>
        <w:numPr>
          <w:ilvl w:val="0"/>
          <w:numId w:val="8"/>
        </w:numPr>
        <w:spacing w:after="0"/>
        <w:rPr>
          <w:rFonts w:ascii="Cambria Math" w:hAnsi="Cambria Math"/>
        </w:rPr>
      </w:pPr>
      <w:r>
        <w:rPr>
          <w:rFonts w:ascii="Cambria Math" w:hAnsi="Cambria Math"/>
        </w:rPr>
        <w:t xml:space="preserve">Nucleation = getting the first few monomers  together to start building the MF </w:t>
      </w:r>
    </w:p>
    <w:p w:rsidR="009356B7" w:rsidRDefault="009356B7" w:rsidP="009356B7">
      <w:pPr>
        <w:pStyle w:val="ListParagraph"/>
        <w:numPr>
          <w:ilvl w:val="1"/>
          <w:numId w:val="8"/>
        </w:numPr>
        <w:spacing w:after="0"/>
        <w:rPr>
          <w:rFonts w:ascii="Cambria Math" w:hAnsi="Cambria Math"/>
        </w:rPr>
      </w:pPr>
      <w:r>
        <w:rPr>
          <w:rFonts w:ascii="Cambria Math" w:hAnsi="Cambria Math"/>
        </w:rPr>
        <w:t>It’s a relatively slow process but once the MF starts to grow, it’s fine</w:t>
      </w:r>
    </w:p>
    <w:p w:rsidR="009356B7" w:rsidRDefault="009356B7" w:rsidP="009356B7">
      <w:pPr>
        <w:pStyle w:val="ListParagraph"/>
        <w:numPr>
          <w:ilvl w:val="1"/>
          <w:numId w:val="8"/>
        </w:numPr>
        <w:spacing w:after="0"/>
        <w:rPr>
          <w:rFonts w:ascii="Cambria Math" w:hAnsi="Cambria Math"/>
        </w:rPr>
      </w:pPr>
      <w:r>
        <w:rPr>
          <w:rFonts w:ascii="Cambria Math" w:hAnsi="Cambria Math"/>
        </w:rPr>
        <w:t>Variety of proteins that help nucleate MF and control speed, location and structure that they take on.</w:t>
      </w:r>
    </w:p>
    <w:p w:rsidR="009356B7" w:rsidRDefault="009356B7" w:rsidP="009356B7">
      <w:pPr>
        <w:pStyle w:val="ListParagraph"/>
        <w:numPr>
          <w:ilvl w:val="0"/>
          <w:numId w:val="8"/>
        </w:numPr>
        <w:spacing w:after="0"/>
        <w:rPr>
          <w:rFonts w:ascii="Cambria Math" w:hAnsi="Cambria Math"/>
        </w:rPr>
      </w:pPr>
      <w:r>
        <w:rPr>
          <w:rFonts w:ascii="Cambria Math" w:hAnsi="Cambria Math"/>
        </w:rPr>
        <w:t>Regulated by cell-signalling pathways</w:t>
      </w:r>
    </w:p>
    <w:p w:rsidR="009356B7" w:rsidRDefault="009356B7" w:rsidP="009356B7">
      <w:pPr>
        <w:pStyle w:val="ListParagraph"/>
        <w:numPr>
          <w:ilvl w:val="0"/>
          <w:numId w:val="8"/>
        </w:numPr>
        <w:spacing w:after="0"/>
        <w:rPr>
          <w:rFonts w:ascii="Cambria Math" w:hAnsi="Cambria Math"/>
        </w:rPr>
      </w:pPr>
      <w:r>
        <w:rPr>
          <w:rFonts w:ascii="Cambria Math" w:hAnsi="Cambria Math"/>
        </w:rPr>
        <w:t>Useful drugs:</w:t>
      </w:r>
    </w:p>
    <w:p w:rsidR="009356B7" w:rsidRDefault="009356B7" w:rsidP="009356B7">
      <w:pPr>
        <w:pStyle w:val="ListParagraph"/>
        <w:numPr>
          <w:ilvl w:val="1"/>
          <w:numId w:val="8"/>
        </w:numPr>
        <w:spacing w:after="0"/>
        <w:rPr>
          <w:rFonts w:ascii="Cambria Math" w:hAnsi="Cambria Math"/>
        </w:rPr>
      </w:pPr>
      <w:r>
        <w:rPr>
          <w:rFonts w:ascii="Cambria Math" w:hAnsi="Cambria Math"/>
        </w:rPr>
        <w:t>C</w:t>
      </w:r>
      <w:r w:rsidRPr="00F26E60">
        <w:rPr>
          <w:rFonts w:ascii="Cambria Math" w:hAnsi="Cambria Math"/>
        </w:rPr>
        <w:t>ytochalasin</w:t>
      </w:r>
      <w:r>
        <w:rPr>
          <w:rFonts w:ascii="Cambria Math" w:hAnsi="Cambria Math"/>
        </w:rPr>
        <w:t xml:space="preserve">: blocks polymerization of actin. Actin breaks down cause it can’t grow </w:t>
      </w:r>
    </w:p>
    <w:p w:rsidR="009356B7" w:rsidRDefault="009356B7" w:rsidP="009356B7">
      <w:pPr>
        <w:pStyle w:val="ListParagraph"/>
        <w:numPr>
          <w:ilvl w:val="1"/>
          <w:numId w:val="8"/>
        </w:numPr>
        <w:spacing w:after="0"/>
        <w:rPr>
          <w:rFonts w:ascii="Cambria Math" w:hAnsi="Cambria Math"/>
        </w:rPr>
      </w:pPr>
      <w:r>
        <w:rPr>
          <w:rFonts w:ascii="Cambria Math" w:hAnsi="Cambria Math"/>
        </w:rPr>
        <w:t>Phalloidin: Stabailzes MF. Neither grow nor shrink. Any process that needs them is prevents.</w:t>
      </w:r>
    </w:p>
    <w:p w:rsidR="00F244F0" w:rsidRDefault="00F244F0" w:rsidP="00836401">
      <w:pPr>
        <w:spacing w:after="0"/>
        <w:rPr>
          <w:rFonts w:ascii="Cambria Math" w:hAnsi="Cambria Math"/>
          <w:b/>
        </w:rPr>
      </w:pPr>
    </w:p>
    <w:p w:rsidR="00836401" w:rsidRPr="00327C16" w:rsidRDefault="00836401" w:rsidP="00836401">
      <w:pPr>
        <w:spacing w:after="0"/>
        <w:rPr>
          <w:rFonts w:ascii="Cambria Math" w:hAnsi="Cambria Math"/>
          <w:b/>
        </w:rPr>
      </w:pPr>
      <w:r w:rsidRPr="00327C16">
        <w:rPr>
          <w:rFonts w:ascii="Cambria Math" w:hAnsi="Cambria Math"/>
          <w:b/>
        </w:rPr>
        <w:t>6. Define a motor protein and provide an example</w:t>
      </w:r>
    </w:p>
    <w:p w:rsidR="005C6BF3" w:rsidRDefault="00327C16" w:rsidP="005C6BF3">
      <w:pPr>
        <w:spacing w:after="0"/>
        <w:jc w:val="both"/>
        <w:rPr>
          <w:rFonts w:ascii="Cambria Math" w:hAnsi="Cambria Math"/>
        </w:rPr>
      </w:pPr>
      <w:r w:rsidRPr="00F52F5E">
        <w:rPr>
          <w:rFonts w:ascii="Cambria Math" w:hAnsi="Cambria Math"/>
          <w:b/>
        </w:rPr>
        <w:t>Motor Protein:</w:t>
      </w:r>
      <w:r>
        <w:rPr>
          <w:rFonts w:ascii="Cambria Math" w:hAnsi="Cambria Math"/>
        </w:rPr>
        <w:t xml:space="preserve"> category of proteins that can take chemical energy of ATP and convert it into movement. Uses ATP hydrolysis to move along a microf</w:t>
      </w:r>
      <w:r w:rsidR="005C6BF3">
        <w:rPr>
          <w:rFonts w:ascii="Cambria Math" w:hAnsi="Cambria Math"/>
        </w:rPr>
        <w:t xml:space="preserve">ilament or microtubule. </w:t>
      </w:r>
    </w:p>
    <w:p w:rsidR="00327C16" w:rsidRDefault="005C6BF3" w:rsidP="005C6BF3">
      <w:pPr>
        <w:spacing w:after="0"/>
        <w:jc w:val="both"/>
        <w:rPr>
          <w:rFonts w:ascii="Cambria Math" w:hAnsi="Cambria Math"/>
        </w:rPr>
      </w:pPr>
      <w:r>
        <w:rPr>
          <w:rFonts w:ascii="Cambria Math" w:hAnsi="Cambria Math"/>
        </w:rPr>
        <w:t>Example:</w:t>
      </w:r>
      <w:r w:rsidR="00327C16">
        <w:rPr>
          <w:rFonts w:ascii="Cambria Math" w:hAnsi="Cambria Math"/>
        </w:rPr>
        <w:t xml:space="preserve"> Myosin in muscle cells.</w:t>
      </w:r>
      <w:r w:rsidR="00E92665">
        <w:rPr>
          <w:rFonts w:ascii="Cambria Math" w:hAnsi="Cambria Math"/>
        </w:rPr>
        <w:t xml:space="preserve"> </w:t>
      </w:r>
    </w:p>
    <w:p w:rsidR="00FD7EC7" w:rsidRDefault="00FD7EC7" w:rsidP="00836401">
      <w:pPr>
        <w:spacing w:after="0"/>
        <w:rPr>
          <w:rFonts w:ascii="Cambria Math" w:hAnsi="Cambria Math"/>
          <w:b/>
        </w:rPr>
      </w:pPr>
    </w:p>
    <w:p w:rsidR="00836401" w:rsidRPr="00327C16" w:rsidRDefault="00836401" w:rsidP="00836401">
      <w:pPr>
        <w:spacing w:after="0"/>
        <w:rPr>
          <w:rFonts w:ascii="Cambria Math" w:hAnsi="Cambria Math"/>
          <w:b/>
        </w:rPr>
      </w:pPr>
      <w:r w:rsidRPr="00327C16">
        <w:rPr>
          <w:rFonts w:ascii="Cambria Math" w:hAnsi="Cambria Math"/>
          <w:b/>
        </w:rPr>
        <w:t>7. Contrast and compare contractile and non-contractile modes of microfilament-based motility.</w:t>
      </w:r>
    </w:p>
    <w:tbl>
      <w:tblPr>
        <w:tblStyle w:val="TableGrid"/>
        <w:tblW w:w="11624" w:type="dxa"/>
        <w:tblInd w:w="-1026" w:type="dxa"/>
        <w:tblLook w:val="04A0"/>
      </w:tblPr>
      <w:tblGrid>
        <w:gridCol w:w="6237"/>
        <w:gridCol w:w="5387"/>
      </w:tblGrid>
      <w:tr w:rsidR="00327C16" w:rsidRPr="00981171" w:rsidTr="00354243">
        <w:tc>
          <w:tcPr>
            <w:tcW w:w="6237" w:type="dxa"/>
          </w:tcPr>
          <w:p w:rsidR="00327C16" w:rsidRDefault="00327C16" w:rsidP="0062354E">
            <w:p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Contractile Microfilament-based Mobility</w:t>
            </w:r>
          </w:p>
        </w:tc>
        <w:tc>
          <w:tcPr>
            <w:tcW w:w="5387" w:type="dxa"/>
          </w:tcPr>
          <w:p w:rsidR="00327C16" w:rsidRPr="00CC2B0C" w:rsidRDefault="00327C16" w:rsidP="0062354E">
            <w:pPr>
              <w:rPr>
                <w:rFonts w:ascii="Cambria Math" w:hAnsi="Cambria Math"/>
                <w:lang w:val="fr-CA"/>
              </w:rPr>
            </w:pPr>
            <w:r w:rsidRPr="00CC2B0C">
              <w:rPr>
                <w:rFonts w:ascii="Cambria Math" w:hAnsi="Cambria Math"/>
                <w:lang w:val="fr-CA"/>
              </w:rPr>
              <w:t>Non-Contractile Microfilament-based Mobiltiy</w:t>
            </w:r>
          </w:p>
        </w:tc>
      </w:tr>
      <w:tr w:rsidR="00327C16" w:rsidRPr="003E5D6B" w:rsidTr="00354243">
        <w:tc>
          <w:tcPr>
            <w:tcW w:w="6237" w:type="dxa"/>
          </w:tcPr>
          <w:p w:rsidR="00354243" w:rsidRDefault="00354243" w:rsidP="00354243">
            <w:pPr>
              <w:pStyle w:val="ListParagraph"/>
              <w:numPr>
                <w:ilvl w:val="0"/>
                <w:numId w:val="12"/>
              </w:numPr>
              <w:jc w:val="both"/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Contractile Assemblies in Muscle Cells</w:t>
            </w:r>
          </w:p>
          <w:p w:rsidR="00354243" w:rsidRDefault="00354243" w:rsidP="00354243">
            <w:pPr>
              <w:pStyle w:val="ListParagraph"/>
              <w:numPr>
                <w:ilvl w:val="1"/>
                <w:numId w:val="12"/>
              </w:numPr>
              <w:jc w:val="both"/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sacromere: responsible for unit contraction</w:t>
            </w:r>
          </w:p>
          <w:p w:rsidR="00354243" w:rsidRDefault="00354243" w:rsidP="00354243">
            <w:pPr>
              <w:pStyle w:val="ListParagraph"/>
              <w:numPr>
                <w:ilvl w:val="2"/>
                <w:numId w:val="12"/>
              </w:numPr>
              <w:jc w:val="both"/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runs from one Z-line to a second Z-line</w:t>
            </w:r>
          </w:p>
          <w:p w:rsidR="00354243" w:rsidRDefault="00354243" w:rsidP="00354243">
            <w:pPr>
              <w:pStyle w:val="ListParagraph"/>
              <w:numPr>
                <w:ilvl w:val="2"/>
                <w:numId w:val="12"/>
              </w:numPr>
              <w:jc w:val="both"/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MF extends from the Z-line</w:t>
            </w:r>
          </w:p>
          <w:p w:rsidR="00354243" w:rsidRDefault="00354243" w:rsidP="00354243">
            <w:pPr>
              <w:pStyle w:val="ListParagraph"/>
              <w:numPr>
                <w:ilvl w:val="2"/>
                <w:numId w:val="12"/>
              </w:numPr>
              <w:jc w:val="both"/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+ end stabilized and capped by Z-line</w:t>
            </w:r>
          </w:p>
          <w:p w:rsidR="00354243" w:rsidRDefault="00354243" w:rsidP="00354243">
            <w:pPr>
              <w:pStyle w:val="ListParagraph"/>
              <w:numPr>
                <w:ilvl w:val="2"/>
                <w:numId w:val="12"/>
              </w:numPr>
              <w:jc w:val="both"/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Cluster of Myosin molecules between MFs</w:t>
            </w:r>
          </w:p>
          <w:p w:rsidR="00354243" w:rsidRDefault="00354243" w:rsidP="00354243">
            <w:pPr>
              <w:pStyle w:val="ListParagraph"/>
              <w:numPr>
                <w:ilvl w:val="1"/>
                <w:numId w:val="12"/>
              </w:numPr>
              <w:jc w:val="both"/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Myosin Tail:</w:t>
            </w:r>
          </w:p>
          <w:p w:rsidR="00354243" w:rsidRDefault="00354243" w:rsidP="00354243">
            <w:pPr>
              <w:pStyle w:val="ListParagraph"/>
              <w:numPr>
                <w:ilvl w:val="2"/>
                <w:numId w:val="12"/>
              </w:numPr>
              <w:jc w:val="both"/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Wound together with globular heads sticking out at ntervals</w:t>
            </w:r>
          </w:p>
          <w:p w:rsidR="00354243" w:rsidRDefault="00354243" w:rsidP="00354243">
            <w:pPr>
              <w:pStyle w:val="ListParagraph"/>
              <w:numPr>
                <w:ilvl w:val="2"/>
                <w:numId w:val="12"/>
              </w:numPr>
              <w:jc w:val="both"/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2 bundles oritented tail-to-tail</w:t>
            </w:r>
          </w:p>
          <w:p w:rsidR="00354243" w:rsidRDefault="00354243" w:rsidP="00354243">
            <w:pPr>
              <w:pStyle w:val="ListParagraph"/>
              <w:numPr>
                <w:ilvl w:val="2"/>
                <w:numId w:val="12"/>
              </w:numPr>
              <w:jc w:val="both"/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Globular heads bind to the actin filaments  and move along= allows for contraction to occur</w:t>
            </w:r>
          </w:p>
          <w:p w:rsidR="00354243" w:rsidRDefault="00354243" w:rsidP="00354243">
            <w:pPr>
              <w:pStyle w:val="ListParagraph"/>
              <w:numPr>
                <w:ilvl w:val="2"/>
                <w:numId w:val="12"/>
              </w:numPr>
              <w:jc w:val="both"/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Titan links the end of the Thick Filaments to the Z-line (stuck in the middle of the sarcomere.</w:t>
            </w:r>
          </w:p>
          <w:p w:rsidR="00354243" w:rsidRDefault="00354243" w:rsidP="00354243">
            <w:pPr>
              <w:pStyle w:val="ListParagraph"/>
              <w:numPr>
                <w:ilvl w:val="2"/>
                <w:numId w:val="12"/>
              </w:numPr>
              <w:jc w:val="both"/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As Thick filaments walk along the Actin Filaments, the sarcomere will contract.</w:t>
            </w:r>
          </w:p>
          <w:p w:rsidR="00354243" w:rsidRDefault="00354243" w:rsidP="00354243">
            <w:pPr>
              <w:pStyle w:val="ListParagraph"/>
              <w:numPr>
                <w:ilvl w:val="1"/>
                <w:numId w:val="12"/>
              </w:numPr>
              <w:jc w:val="both"/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Contraction Cycle:</w:t>
            </w:r>
          </w:p>
          <w:p w:rsidR="00354243" w:rsidRDefault="00354243" w:rsidP="00354243">
            <w:pPr>
              <w:pStyle w:val="ListParagraph"/>
              <w:numPr>
                <w:ilvl w:val="2"/>
                <w:numId w:val="12"/>
              </w:numPr>
              <w:jc w:val="both"/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Myosin binds to actin filament → hydrolyzes ATP so that it can walk along that actin filament (changes conformation)</w:t>
            </w:r>
            <w:r w:rsidRPr="009A59AD">
              <w:rPr>
                <w:rFonts w:ascii="Cambria Math" w:hAnsi="Cambria Math"/>
              </w:rPr>
              <w:t xml:space="preserve"> </w:t>
            </w:r>
            <w:r>
              <w:rPr>
                <w:rFonts w:ascii="Cambria Math" w:hAnsi="Cambria Math"/>
              </w:rPr>
              <w:t>→ lets go and repeats the cycle. (REFER TO PICTURE)</w:t>
            </w:r>
          </w:p>
          <w:p w:rsidR="00354243" w:rsidRDefault="00354243" w:rsidP="00354243">
            <w:pPr>
              <w:pStyle w:val="ListParagraph"/>
              <w:numPr>
                <w:ilvl w:val="2"/>
                <w:numId w:val="12"/>
              </w:numPr>
              <w:jc w:val="both"/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Thick filaments slide over thin filaments → sarcomere is reduced</w:t>
            </w:r>
          </w:p>
          <w:p w:rsidR="00354243" w:rsidRDefault="00354243" w:rsidP="00354243">
            <w:pPr>
              <w:pStyle w:val="ListParagraph"/>
              <w:numPr>
                <w:ilvl w:val="2"/>
                <w:numId w:val="12"/>
              </w:numPr>
              <w:jc w:val="both"/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Cross-bridge cycle → Sliding filament model</w:t>
            </w:r>
          </w:p>
          <w:p w:rsidR="00354243" w:rsidRPr="005F31C1" w:rsidRDefault="00354243" w:rsidP="00354243">
            <w:pPr>
              <w:pStyle w:val="ListParagraph"/>
              <w:numPr>
                <w:ilvl w:val="0"/>
                <w:numId w:val="12"/>
              </w:numPr>
              <w:jc w:val="both"/>
              <w:rPr>
                <w:rFonts w:ascii="Cambria Math" w:hAnsi="Cambria Math"/>
                <w:lang w:val="fr-CA"/>
              </w:rPr>
            </w:pPr>
            <w:r w:rsidRPr="005F31C1">
              <w:rPr>
                <w:rFonts w:ascii="Cambria Math" w:hAnsi="Cambria Math"/>
                <w:lang w:val="fr-CA"/>
              </w:rPr>
              <w:t>Contractile assemblies in non-muscle cells</w:t>
            </w:r>
          </w:p>
          <w:p w:rsidR="00354243" w:rsidRDefault="00354243" w:rsidP="00354243">
            <w:pPr>
              <w:pStyle w:val="ListParagraph"/>
              <w:numPr>
                <w:ilvl w:val="1"/>
                <w:numId w:val="12"/>
              </w:numPr>
              <w:jc w:val="both"/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small contractile structure of actin and myosin in non-</w:t>
            </w:r>
            <w:r>
              <w:rPr>
                <w:rFonts w:ascii="Cambria Math" w:hAnsi="Cambria Math"/>
              </w:rPr>
              <w:lastRenderedPageBreak/>
              <w:t>muscle cells</w:t>
            </w:r>
          </w:p>
          <w:p w:rsidR="00354243" w:rsidRDefault="00354243" w:rsidP="00354243">
            <w:pPr>
              <w:pStyle w:val="ListParagraph"/>
              <w:numPr>
                <w:ilvl w:val="1"/>
                <w:numId w:val="12"/>
              </w:numPr>
              <w:jc w:val="both"/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causes parts of the cell to contract</w:t>
            </w:r>
          </w:p>
          <w:p w:rsidR="00354243" w:rsidRDefault="00354243" w:rsidP="00354243">
            <w:pPr>
              <w:pStyle w:val="ListParagraph"/>
              <w:numPr>
                <w:ilvl w:val="1"/>
                <w:numId w:val="12"/>
              </w:numPr>
              <w:jc w:val="both"/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small clusters of myosin filaments that bind to actin and  cause contraction by sliding filament (uses Myosin ii)</w:t>
            </w:r>
          </w:p>
          <w:p w:rsidR="00354243" w:rsidRDefault="00354243" w:rsidP="00354243">
            <w:pPr>
              <w:pStyle w:val="ListParagraph"/>
              <w:numPr>
                <w:ilvl w:val="1"/>
                <w:numId w:val="12"/>
              </w:numPr>
              <w:jc w:val="both"/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 xml:space="preserve"> i.e. cell division: Cytokinesis</w:t>
            </w:r>
          </w:p>
          <w:p w:rsidR="00354243" w:rsidRDefault="00354243" w:rsidP="00354243">
            <w:pPr>
              <w:pStyle w:val="ListParagraph"/>
              <w:numPr>
                <w:ilvl w:val="2"/>
                <w:numId w:val="12"/>
              </w:numPr>
              <w:jc w:val="both"/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At midpoint of mitoic spindle, a contractile array of MF with Myosin molecules forms</w:t>
            </w:r>
          </w:p>
          <w:p w:rsidR="00354243" w:rsidRDefault="00354243" w:rsidP="00354243">
            <w:pPr>
              <w:pStyle w:val="ListParagraph"/>
              <w:numPr>
                <w:ilvl w:val="2"/>
                <w:numId w:val="12"/>
              </w:numPr>
              <w:jc w:val="both"/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Contracts causes the two cells to separating by pinking off the cytoplasm</w:t>
            </w:r>
          </w:p>
          <w:p w:rsidR="00761185" w:rsidRPr="0091697B" w:rsidRDefault="00354243" w:rsidP="0022690F">
            <w:pPr>
              <w:pStyle w:val="ListParagraph"/>
              <w:jc w:val="center"/>
              <w:rPr>
                <w:rFonts w:ascii="Cambria Math" w:hAnsi="Cambria Math"/>
              </w:rPr>
            </w:pPr>
            <w:r w:rsidRPr="00354243">
              <w:rPr>
                <w:rFonts w:ascii="Cambria Math" w:hAnsi="Cambria Math"/>
                <w:noProof/>
                <w:lang w:eastAsia="en-CA"/>
              </w:rPr>
              <w:drawing>
                <wp:inline distT="0" distB="0" distL="0" distR="0">
                  <wp:extent cx="2724150" cy="3671454"/>
                  <wp:effectExtent l="19050" t="0" r="0" b="0"/>
                  <wp:docPr id="8" name="Picture 7" descr="C36_F04_pg876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8" descr="C36_F04_pg876.jpg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/>
                          <a:srcRect t="242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8367" cy="36771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7" w:type="dxa"/>
          </w:tcPr>
          <w:p w:rsidR="00327C16" w:rsidRDefault="00327C16" w:rsidP="00327C16">
            <w:pPr>
              <w:pStyle w:val="ListParagraph"/>
              <w:numPr>
                <w:ilvl w:val="0"/>
                <w:numId w:val="6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lastRenderedPageBreak/>
              <w:t>Ce</w:t>
            </w:r>
            <w:r w:rsidR="00761185">
              <w:rPr>
                <w:rFonts w:ascii="Cambria Math" w:hAnsi="Cambria Math"/>
              </w:rPr>
              <w:t>l</w:t>
            </w:r>
            <w:r>
              <w:rPr>
                <w:rFonts w:ascii="Cambria Math" w:hAnsi="Cambria Math"/>
              </w:rPr>
              <w:t>l Crawling: Polymerization of Actin</w:t>
            </w:r>
          </w:p>
          <w:p w:rsidR="00DD7852" w:rsidRPr="00DD7852" w:rsidRDefault="00DD7852" w:rsidP="00DD7852">
            <w:pPr>
              <w:pStyle w:val="ListParagraph"/>
              <w:numPr>
                <w:ilvl w:val="1"/>
                <w:numId w:val="13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Different types of movements based on MF arrays that are driven by the polymerization of MF</w:t>
            </w:r>
          </w:p>
          <w:p w:rsidR="00327C16" w:rsidRDefault="00327C16" w:rsidP="00DD7852">
            <w:pPr>
              <w:pStyle w:val="ListParagraph"/>
              <w:numPr>
                <w:ilvl w:val="2"/>
                <w:numId w:val="6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Ameboid movement</w:t>
            </w:r>
          </w:p>
          <w:p w:rsidR="00327C16" w:rsidRDefault="00327C16" w:rsidP="00DD7852">
            <w:pPr>
              <w:pStyle w:val="ListParagraph"/>
              <w:numPr>
                <w:ilvl w:val="2"/>
                <w:numId w:val="6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Phagocytosis</w:t>
            </w:r>
            <w:r w:rsidR="00DD7852">
              <w:rPr>
                <w:rFonts w:ascii="Cambria Math" w:hAnsi="Cambria Math"/>
              </w:rPr>
              <w:t xml:space="preserve"> (i.e. part of the cell is moving)</w:t>
            </w:r>
          </w:p>
          <w:p w:rsidR="00327C16" w:rsidRDefault="00327C16" w:rsidP="00DD7852">
            <w:pPr>
              <w:pStyle w:val="ListParagraph"/>
              <w:numPr>
                <w:ilvl w:val="2"/>
                <w:numId w:val="6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Cell migration</w:t>
            </w:r>
            <w:r w:rsidR="00DD7852">
              <w:rPr>
                <w:rFonts w:ascii="Cambria Math" w:hAnsi="Cambria Math"/>
              </w:rPr>
              <w:t xml:space="preserve"> (i.e. embryogenesis)</w:t>
            </w:r>
          </w:p>
          <w:p w:rsidR="00327C16" w:rsidRDefault="00327C16" w:rsidP="00DD7852">
            <w:pPr>
              <w:pStyle w:val="ListParagraph"/>
              <w:numPr>
                <w:ilvl w:val="2"/>
                <w:numId w:val="6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Cell Invasion</w:t>
            </w:r>
            <w:r w:rsidR="00DD7852">
              <w:rPr>
                <w:rFonts w:ascii="Cambria Math" w:hAnsi="Cambria Math"/>
              </w:rPr>
              <w:t>(i.e. cancer cells)</w:t>
            </w:r>
          </w:p>
          <w:p w:rsidR="00327C16" w:rsidRDefault="00327C16" w:rsidP="00DD7852">
            <w:pPr>
              <w:pStyle w:val="ListParagraph"/>
              <w:numPr>
                <w:ilvl w:val="2"/>
                <w:numId w:val="6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Wound healing</w:t>
            </w:r>
          </w:p>
          <w:p w:rsidR="00327C16" w:rsidRDefault="00327C16" w:rsidP="00327C16">
            <w:pPr>
              <w:pStyle w:val="ListParagraph"/>
              <w:numPr>
                <w:ilvl w:val="0"/>
                <w:numId w:val="6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What happens:</w:t>
            </w:r>
          </w:p>
          <w:p w:rsidR="00327C16" w:rsidRDefault="00327C16" w:rsidP="00327C16">
            <w:pPr>
              <w:pStyle w:val="ListParagraph"/>
              <w:numPr>
                <w:ilvl w:val="1"/>
                <w:numId w:val="6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 xml:space="preserve">Array of MF forms </w:t>
            </w:r>
            <w:r w:rsidR="00DD7852">
              <w:rPr>
                <w:rFonts w:ascii="Cambria Math" w:hAnsi="Cambria Math"/>
              </w:rPr>
              <w:t>at the point where</w:t>
            </w:r>
            <w:r>
              <w:rPr>
                <w:rFonts w:ascii="Cambria Math" w:hAnsi="Cambria Math"/>
              </w:rPr>
              <w:t xml:space="preserve"> the cell wants to extend out</w:t>
            </w:r>
          </w:p>
          <w:p w:rsidR="00327C16" w:rsidRDefault="0022690F" w:rsidP="00327C16">
            <w:pPr>
              <w:pStyle w:val="ListParagraph"/>
              <w:numPr>
                <w:ilvl w:val="1"/>
                <w:numId w:val="6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 xml:space="preserve">Actin filaments (polymerization) form and </w:t>
            </w:r>
            <w:r w:rsidR="00327C16">
              <w:rPr>
                <w:rFonts w:ascii="Cambria Math" w:hAnsi="Cambria Math"/>
              </w:rPr>
              <w:t>Push</w:t>
            </w:r>
            <w:r>
              <w:rPr>
                <w:rFonts w:ascii="Cambria Math" w:hAnsi="Cambria Math"/>
              </w:rPr>
              <w:t xml:space="preserve"> out plasma</w:t>
            </w:r>
            <w:r w:rsidR="00327C16">
              <w:rPr>
                <w:rFonts w:ascii="Cambria Math" w:hAnsi="Cambria Math"/>
              </w:rPr>
              <w:t xml:space="preserve">  MB</w:t>
            </w:r>
            <w:r>
              <w:rPr>
                <w:rFonts w:ascii="Cambria Math" w:hAnsi="Cambria Math"/>
              </w:rPr>
              <w:t xml:space="preserve"> →</w:t>
            </w:r>
            <w:r w:rsidR="00327C16">
              <w:rPr>
                <w:rFonts w:ascii="Cambria Math" w:hAnsi="Cambria Math"/>
              </w:rPr>
              <w:t xml:space="preserve"> “Cell Extention”</w:t>
            </w:r>
          </w:p>
          <w:p w:rsidR="00327C16" w:rsidRDefault="00327C16" w:rsidP="00327C16">
            <w:pPr>
              <w:pStyle w:val="ListParagraph"/>
              <w:numPr>
                <w:ilvl w:val="1"/>
                <w:numId w:val="6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Front of cells anchor down on substrate</w:t>
            </w:r>
          </w:p>
          <w:p w:rsidR="00327C16" w:rsidRDefault="00327C16" w:rsidP="00327C16">
            <w:pPr>
              <w:pStyle w:val="ListParagraph"/>
              <w:numPr>
                <w:ilvl w:val="1"/>
                <w:numId w:val="6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Back  of cell is pulled in</w:t>
            </w:r>
          </w:p>
          <w:p w:rsidR="0022690F" w:rsidRDefault="0022690F" w:rsidP="00327C16">
            <w:pPr>
              <w:pStyle w:val="ListParagraph"/>
              <w:numPr>
                <w:ilvl w:val="1"/>
                <w:numId w:val="6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Summary: Extension → anchoring → pulling the back of the cell in→repeat</w:t>
            </w:r>
          </w:p>
          <w:p w:rsidR="0022690F" w:rsidRPr="0022690F" w:rsidRDefault="0022690F" w:rsidP="0022690F">
            <w:pPr>
              <w:rPr>
                <w:rFonts w:ascii="Cambria Math" w:hAnsi="Cambria Math"/>
              </w:rPr>
            </w:pPr>
            <w:r w:rsidRPr="0022690F">
              <w:rPr>
                <w:rFonts w:ascii="Cambria Math" w:hAnsi="Cambria Math"/>
                <w:noProof/>
                <w:lang w:eastAsia="en-CA"/>
              </w:rPr>
              <w:lastRenderedPageBreak/>
              <w:drawing>
                <wp:inline distT="0" distB="0" distL="0" distR="0">
                  <wp:extent cx="3264477" cy="2202872"/>
                  <wp:effectExtent l="19050" t="0" r="0" b="0"/>
                  <wp:docPr id="9" name="Object 8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0" y="0"/>
                            <a:ext cx="5321512" cy="2791670"/>
                            <a:chOff x="3604120" y="3916230"/>
                            <a:chExt cx="5321512" cy="2791670"/>
                          </a:xfrm>
                        </a:grpSpPr>
                        <a:grpSp>
                          <a:nvGrpSpPr>
                            <a:cNvPr id="19" name="Group 18"/>
                            <a:cNvGrpSpPr/>
                          </a:nvGrpSpPr>
                          <a:grpSpPr>
                            <a:xfrm>
                              <a:off x="3604120" y="3916230"/>
                              <a:ext cx="5321512" cy="2791670"/>
                              <a:chOff x="3604120" y="3916230"/>
                              <a:chExt cx="5321512" cy="2791670"/>
                            </a:xfrm>
                          </a:grpSpPr>
                          <a:pic>
                            <a:nvPicPr>
                              <a:cNvPr id="8" name="Picture 7" descr="1627.jpg"/>
                              <a:cNvPicPr>
                                <a:picLocks noChangeAspect="1"/>
                              </a:cNvPicPr>
                            </a:nvPicPr>
                            <a:blipFill>
                              <a:blip r:embed="rId11" cstate="print"/>
                              <a:srcRect l="6768" t="58251" r="3294" b="7377"/>
                              <a:stretch>
                                <a:fillRect/>
                              </a:stretch>
                            </a:blipFill>
                            <a:spPr>
                              <a:xfrm>
                                <a:off x="3604120" y="4244480"/>
                                <a:ext cx="5321512" cy="2279177"/>
                              </a:xfrm>
                              <a:prstGeom prst="rect">
                                <a:avLst/>
                              </a:prstGeom>
                            </a:spPr>
                          </a:pic>
                          <a:sp>
                            <a:nvSpPr>
                              <a:cNvPr id="11" name="Text Box 3"/>
                              <a:cNvSpPr txBox="1">
                                <a:spLocks noChangeArrowheads="1"/>
                              </a:cNvSpPr>
                            </a:nvSpPr>
                            <a:spPr bwMode="auto">
                              <a:xfrm>
                                <a:off x="6996763" y="4421199"/>
                                <a:ext cx="692818" cy="307777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noFill/>
                                <a:miter lim="800000"/>
                                <a:headEnd/>
                                <a:tailEnd/>
                              </a:ln>
                              <a:effectLst/>
                            </a:spPr>
                            <a:txSp>
                              <a:txBody>
                                <a:bodyPr wrap="none">
                                  <a:spAutoFit/>
                                </a:bodyPr>
                                <a:lstStyle>
                                  <a:defPPr>
                                    <a:defRPr lang="en-GB"/>
                                  </a:defPPr>
                                  <a:lvl1pPr algn="l" rtl="0" eaLnBrk="0" fontAlgn="base" hangingPunct="0">
                                    <a:spcBef>
                                      <a:spcPct val="20000"/>
                                    </a:spcBef>
                                    <a:spcAft>
                                      <a:spcPct val="0"/>
                                    </a:spcAft>
                                    <a:buClr>
                                      <a:schemeClr val="tx1"/>
                                    </a:buClr>
                                    <a:buSzPct val="75000"/>
                                    <a:buFont typeface="Monotype Sorts" pitchFamily="2" charset="2"/>
                                    <a:buChar char="q"/>
                                    <a:defRPr sz="2400" b="1" kern="1200">
                                      <a:solidFill>
                                        <a:schemeClr val="tx1"/>
                                      </a:solidFill>
                                      <a:latin typeface="Arial Narrow" pitchFamily="34" charset="0"/>
                                      <a:ea typeface="+mn-ea"/>
                                      <a:cs typeface="+mn-cs"/>
                                    </a:defRPr>
                                  </a:lvl1pPr>
                                  <a:lvl2pPr marL="457200" algn="l" rtl="0" eaLnBrk="0" fontAlgn="base" hangingPunct="0">
                                    <a:spcBef>
                                      <a:spcPct val="20000"/>
                                    </a:spcBef>
                                    <a:spcAft>
                                      <a:spcPct val="0"/>
                                    </a:spcAft>
                                    <a:buClr>
                                      <a:schemeClr val="tx1"/>
                                    </a:buClr>
                                    <a:buSzPct val="75000"/>
                                    <a:buFont typeface="Monotype Sorts" pitchFamily="2" charset="2"/>
                                    <a:buChar char="q"/>
                                    <a:defRPr sz="2400" b="1" kern="1200">
                                      <a:solidFill>
                                        <a:schemeClr val="tx1"/>
                                      </a:solidFill>
                                      <a:latin typeface="Arial Narrow" pitchFamily="34" charset="0"/>
                                      <a:ea typeface="+mn-ea"/>
                                      <a:cs typeface="+mn-cs"/>
                                    </a:defRPr>
                                  </a:lvl2pPr>
                                  <a:lvl3pPr marL="914400" algn="l" rtl="0" eaLnBrk="0" fontAlgn="base" hangingPunct="0">
                                    <a:spcBef>
                                      <a:spcPct val="20000"/>
                                    </a:spcBef>
                                    <a:spcAft>
                                      <a:spcPct val="0"/>
                                    </a:spcAft>
                                    <a:buClr>
                                      <a:schemeClr val="tx1"/>
                                    </a:buClr>
                                    <a:buSzPct val="75000"/>
                                    <a:buFont typeface="Monotype Sorts" pitchFamily="2" charset="2"/>
                                    <a:buChar char="q"/>
                                    <a:defRPr sz="2400" b="1" kern="1200">
                                      <a:solidFill>
                                        <a:schemeClr val="tx1"/>
                                      </a:solidFill>
                                      <a:latin typeface="Arial Narrow" pitchFamily="34" charset="0"/>
                                      <a:ea typeface="+mn-ea"/>
                                      <a:cs typeface="+mn-cs"/>
                                    </a:defRPr>
                                  </a:lvl3pPr>
                                  <a:lvl4pPr marL="1371600" algn="l" rtl="0" eaLnBrk="0" fontAlgn="base" hangingPunct="0">
                                    <a:spcBef>
                                      <a:spcPct val="20000"/>
                                    </a:spcBef>
                                    <a:spcAft>
                                      <a:spcPct val="0"/>
                                    </a:spcAft>
                                    <a:buClr>
                                      <a:schemeClr val="tx1"/>
                                    </a:buClr>
                                    <a:buSzPct val="75000"/>
                                    <a:buFont typeface="Monotype Sorts" pitchFamily="2" charset="2"/>
                                    <a:buChar char="q"/>
                                    <a:defRPr sz="2400" b="1" kern="1200">
                                      <a:solidFill>
                                        <a:schemeClr val="tx1"/>
                                      </a:solidFill>
                                      <a:latin typeface="Arial Narrow" pitchFamily="34" charset="0"/>
                                      <a:ea typeface="+mn-ea"/>
                                      <a:cs typeface="+mn-cs"/>
                                    </a:defRPr>
                                  </a:lvl4pPr>
                                  <a:lvl5pPr marL="1828800" algn="l" rtl="0" eaLnBrk="0" fontAlgn="base" hangingPunct="0">
                                    <a:spcBef>
                                      <a:spcPct val="20000"/>
                                    </a:spcBef>
                                    <a:spcAft>
                                      <a:spcPct val="0"/>
                                    </a:spcAft>
                                    <a:buClr>
                                      <a:schemeClr val="tx1"/>
                                    </a:buClr>
                                    <a:buSzPct val="75000"/>
                                    <a:buFont typeface="Monotype Sorts" pitchFamily="2" charset="2"/>
                                    <a:buChar char="q"/>
                                    <a:defRPr sz="2400" b="1" kern="1200">
                                      <a:solidFill>
                                        <a:schemeClr val="tx1"/>
                                      </a:solidFill>
                                      <a:latin typeface="Arial Narrow" pitchFamily="34" charset="0"/>
                                      <a:ea typeface="+mn-ea"/>
                                      <a:cs typeface="+mn-cs"/>
                                    </a:defRPr>
                                  </a:lvl5pPr>
                                  <a:lvl6pPr marL="2286000" algn="l" defTabSz="914400" rtl="0" eaLnBrk="1" latinLnBrk="0" hangingPunct="1">
                                    <a:defRPr sz="2400" b="1" kern="1200">
                                      <a:solidFill>
                                        <a:schemeClr val="tx1"/>
                                      </a:solidFill>
                                      <a:latin typeface="Arial Narrow" pitchFamily="34" charset="0"/>
                                      <a:ea typeface="+mn-ea"/>
                                      <a:cs typeface="+mn-cs"/>
                                    </a:defRPr>
                                  </a:lvl6pPr>
                                  <a:lvl7pPr marL="2743200" algn="l" defTabSz="914400" rtl="0" eaLnBrk="1" latinLnBrk="0" hangingPunct="1">
                                    <a:defRPr sz="2400" b="1" kern="1200">
                                      <a:solidFill>
                                        <a:schemeClr val="tx1"/>
                                      </a:solidFill>
                                      <a:latin typeface="Arial Narrow" pitchFamily="34" charset="0"/>
                                      <a:ea typeface="+mn-ea"/>
                                      <a:cs typeface="+mn-cs"/>
                                    </a:defRPr>
                                  </a:lvl7pPr>
                                  <a:lvl8pPr marL="3200400" algn="l" defTabSz="914400" rtl="0" eaLnBrk="1" latinLnBrk="0" hangingPunct="1">
                                    <a:defRPr sz="2400" b="1" kern="1200">
                                      <a:solidFill>
                                        <a:schemeClr val="tx1"/>
                                      </a:solidFill>
                                      <a:latin typeface="Arial Narrow" pitchFamily="34" charset="0"/>
                                      <a:ea typeface="+mn-ea"/>
                                      <a:cs typeface="+mn-cs"/>
                                    </a:defRPr>
                                  </a:lvl8pPr>
                                  <a:lvl9pPr marL="3657600" algn="l" defTabSz="914400" rtl="0" eaLnBrk="1" latinLnBrk="0" hangingPunct="1">
                                    <a:defRPr sz="2400" b="1" kern="1200">
                                      <a:solidFill>
                                        <a:schemeClr val="tx1"/>
                                      </a:solidFill>
                                      <a:latin typeface="Arial Narrow" pitchFamily="34" charset="0"/>
                                      <a:ea typeface="+mn-ea"/>
                                      <a:cs typeface="+mn-cs"/>
                                    </a:defRPr>
                                  </a:lvl9pPr>
                                </a:lstStyle>
                                <a:p>
                                  <a:pPr algn="r">
                                    <a:spcBef>
                                      <a:spcPct val="0"/>
                                    </a:spcBef>
                                    <a:buClrTx/>
                                    <a:buSzTx/>
                                    <a:buFontTx/>
                                    <a:buNone/>
                                  </a:pPr>
                                  <a:r>
                                    <a:rPr lang="en-CA" sz="1400" dirty="0" smtClean="0"/>
                                    <a:t>G-</a:t>
                                  </a:r>
                                  <a:r>
                                    <a:rPr lang="en-CA" sz="1400" dirty="0" err="1" smtClean="0"/>
                                    <a:t>actin</a:t>
                                  </a:r>
                                  <a:endParaRPr lang="en-CA" sz="1400" dirty="0"/>
                                </a:p>
                              </a:txBody>
                              <a:useSpRect/>
                            </a:txSp>
                          </a:sp>
                          <a:sp>
                            <a:nvSpPr>
                              <a:cNvPr id="12" name="Text Box 3"/>
                              <a:cNvSpPr txBox="1">
                                <a:spLocks noChangeArrowheads="1"/>
                              </a:cNvSpPr>
                            </a:nvSpPr>
                            <a:spPr bwMode="auto">
                              <a:xfrm>
                                <a:off x="5696975" y="4421199"/>
                                <a:ext cx="668773" cy="307777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noFill/>
                                <a:miter lim="800000"/>
                                <a:headEnd/>
                                <a:tailEnd/>
                              </a:ln>
                              <a:effectLst/>
                            </a:spPr>
                            <a:txSp>
                              <a:txBody>
                                <a:bodyPr wrap="none">
                                  <a:spAutoFit/>
                                </a:bodyPr>
                                <a:lstStyle>
                                  <a:defPPr>
                                    <a:defRPr lang="en-GB"/>
                                  </a:defPPr>
                                  <a:lvl1pPr algn="l" rtl="0" eaLnBrk="0" fontAlgn="base" hangingPunct="0">
                                    <a:spcBef>
                                      <a:spcPct val="20000"/>
                                    </a:spcBef>
                                    <a:spcAft>
                                      <a:spcPct val="0"/>
                                    </a:spcAft>
                                    <a:buClr>
                                      <a:schemeClr val="tx1"/>
                                    </a:buClr>
                                    <a:buSzPct val="75000"/>
                                    <a:buFont typeface="Monotype Sorts" pitchFamily="2" charset="2"/>
                                    <a:buChar char="q"/>
                                    <a:defRPr sz="2400" b="1" kern="1200">
                                      <a:solidFill>
                                        <a:schemeClr val="tx1"/>
                                      </a:solidFill>
                                      <a:latin typeface="Arial Narrow" pitchFamily="34" charset="0"/>
                                      <a:ea typeface="+mn-ea"/>
                                      <a:cs typeface="+mn-cs"/>
                                    </a:defRPr>
                                  </a:lvl1pPr>
                                  <a:lvl2pPr marL="457200" algn="l" rtl="0" eaLnBrk="0" fontAlgn="base" hangingPunct="0">
                                    <a:spcBef>
                                      <a:spcPct val="20000"/>
                                    </a:spcBef>
                                    <a:spcAft>
                                      <a:spcPct val="0"/>
                                    </a:spcAft>
                                    <a:buClr>
                                      <a:schemeClr val="tx1"/>
                                    </a:buClr>
                                    <a:buSzPct val="75000"/>
                                    <a:buFont typeface="Monotype Sorts" pitchFamily="2" charset="2"/>
                                    <a:buChar char="q"/>
                                    <a:defRPr sz="2400" b="1" kern="1200">
                                      <a:solidFill>
                                        <a:schemeClr val="tx1"/>
                                      </a:solidFill>
                                      <a:latin typeface="Arial Narrow" pitchFamily="34" charset="0"/>
                                      <a:ea typeface="+mn-ea"/>
                                      <a:cs typeface="+mn-cs"/>
                                    </a:defRPr>
                                  </a:lvl2pPr>
                                  <a:lvl3pPr marL="914400" algn="l" rtl="0" eaLnBrk="0" fontAlgn="base" hangingPunct="0">
                                    <a:spcBef>
                                      <a:spcPct val="20000"/>
                                    </a:spcBef>
                                    <a:spcAft>
                                      <a:spcPct val="0"/>
                                    </a:spcAft>
                                    <a:buClr>
                                      <a:schemeClr val="tx1"/>
                                    </a:buClr>
                                    <a:buSzPct val="75000"/>
                                    <a:buFont typeface="Monotype Sorts" pitchFamily="2" charset="2"/>
                                    <a:buChar char="q"/>
                                    <a:defRPr sz="2400" b="1" kern="1200">
                                      <a:solidFill>
                                        <a:schemeClr val="tx1"/>
                                      </a:solidFill>
                                      <a:latin typeface="Arial Narrow" pitchFamily="34" charset="0"/>
                                      <a:ea typeface="+mn-ea"/>
                                      <a:cs typeface="+mn-cs"/>
                                    </a:defRPr>
                                  </a:lvl3pPr>
                                  <a:lvl4pPr marL="1371600" algn="l" rtl="0" eaLnBrk="0" fontAlgn="base" hangingPunct="0">
                                    <a:spcBef>
                                      <a:spcPct val="20000"/>
                                    </a:spcBef>
                                    <a:spcAft>
                                      <a:spcPct val="0"/>
                                    </a:spcAft>
                                    <a:buClr>
                                      <a:schemeClr val="tx1"/>
                                    </a:buClr>
                                    <a:buSzPct val="75000"/>
                                    <a:buFont typeface="Monotype Sorts" pitchFamily="2" charset="2"/>
                                    <a:buChar char="q"/>
                                    <a:defRPr sz="2400" b="1" kern="1200">
                                      <a:solidFill>
                                        <a:schemeClr val="tx1"/>
                                      </a:solidFill>
                                      <a:latin typeface="Arial Narrow" pitchFamily="34" charset="0"/>
                                      <a:ea typeface="+mn-ea"/>
                                      <a:cs typeface="+mn-cs"/>
                                    </a:defRPr>
                                  </a:lvl4pPr>
                                  <a:lvl5pPr marL="1828800" algn="l" rtl="0" eaLnBrk="0" fontAlgn="base" hangingPunct="0">
                                    <a:spcBef>
                                      <a:spcPct val="20000"/>
                                    </a:spcBef>
                                    <a:spcAft>
                                      <a:spcPct val="0"/>
                                    </a:spcAft>
                                    <a:buClr>
                                      <a:schemeClr val="tx1"/>
                                    </a:buClr>
                                    <a:buSzPct val="75000"/>
                                    <a:buFont typeface="Monotype Sorts" pitchFamily="2" charset="2"/>
                                    <a:buChar char="q"/>
                                    <a:defRPr sz="2400" b="1" kern="1200">
                                      <a:solidFill>
                                        <a:schemeClr val="tx1"/>
                                      </a:solidFill>
                                      <a:latin typeface="Arial Narrow" pitchFamily="34" charset="0"/>
                                      <a:ea typeface="+mn-ea"/>
                                      <a:cs typeface="+mn-cs"/>
                                    </a:defRPr>
                                  </a:lvl5pPr>
                                  <a:lvl6pPr marL="2286000" algn="l" defTabSz="914400" rtl="0" eaLnBrk="1" latinLnBrk="0" hangingPunct="1">
                                    <a:defRPr sz="2400" b="1" kern="1200">
                                      <a:solidFill>
                                        <a:schemeClr val="tx1"/>
                                      </a:solidFill>
                                      <a:latin typeface="Arial Narrow" pitchFamily="34" charset="0"/>
                                      <a:ea typeface="+mn-ea"/>
                                      <a:cs typeface="+mn-cs"/>
                                    </a:defRPr>
                                  </a:lvl6pPr>
                                  <a:lvl7pPr marL="2743200" algn="l" defTabSz="914400" rtl="0" eaLnBrk="1" latinLnBrk="0" hangingPunct="1">
                                    <a:defRPr sz="2400" b="1" kern="1200">
                                      <a:solidFill>
                                        <a:schemeClr val="tx1"/>
                                      </a:solidFill>
                                      <a:latin typeface="Arial Narrow" pitchFamily="34" charset="0"/>
                                      <a:ea typeface="+mn-ea"/>
                                      <a:cs typeface="+mn-cs"/>
                                    </a:defRPr>
                                  </a:lvl7pPr>
                                  <a:lvl8pPr marL="3200400" algn="l" defTabSz="914400" rtl="0" eaLnBrk="1" latinLnBrk="0" hangingPunct="1">
                                    <a:defRPr sz="2400" b="1" kern="1200">
                                      <a:solidFill>
                                        <a:schemeClr val="tx1"/>
                                      </a:solidFill>
                                      <a:latin typeface="Arial Narrow" pitchFamily="34" charset="0"/>
                                      <a:ea typeface="+mn-ea"/>
                                      <a:cs typeface="+mn-cs"/>
                                    </a:defRPr>
                                  </a:lvl8pPr>
                                  <a:lvl9pPr marL="3657600" algn="l" defTabSz="914400" rtl="0" eaLnBrk="1" latinLnBrk="0" hangingPunct="1">
                                    <a:defRPr sz="2400" b="1" kern="1200">
                                      <a:solidFill>
                                        <a:schemeClr val="tx1"/>
                                      </a:solidFill>
                                      <a:latin typeface="Arial Narrow" pitchFamily="34" charset="0"/>
                                      <a:ea typeface="+mn-ea"/>
                                      <a:cs typeface="+mn-cs"/>
                                    </a:defRPr>
                                  </a:lvl9pPr>
                                </a:lstStyle>
                                <a:p>
                                  <a:pPr algn="r">
                                    <a:spcBef>
                                      <a:spcPct val="0"/>
                                    </a:spcBef>
                                    <a:buClrTx/>
                                    <a:buSzTx/>
                                    <a:buFontTx/>
                                    <a:buNone/>
                                  </a:pPr>
                                  <a:r>
                                    <a:rPr lang="en-CA" sz="1400" dirty="0" smtClean="0"/>
                                    <a:t>F-</a:t>
                                  </a:r>
                                  <a:r>
                                    <a:rPr lang="en-CA" sz="1400" dirty="0" err="1" smtClean="0"/>
                                    <a:t>actin</a:t>
                                  </a:r>
                                  <a:endParaRPr lang="en-CA" sz="1400" dirty="0"/>
                                </a:p>
                              </a:txBody>
                              <a:useSpRect/>
                            </a:txSp>
                          </a:sp>
                          <a:sp>
                            <a:nvSpPr>
                              <a:cNvPr id="13" name="Text Box 3"/>
                              <a:cNvSpPr txBox="1">
                                <a:spLocks noChangeArrowheads="1"/>
                              </a:cNvSpPr>
                            </a:nvSpPr>
                            <a:spPr bwMode="auto">
                              <a:xfrm>
                                <a:off x="4231900" y="3916230"/>
                                <a:ext cx="700833" cy="307777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noFill/>
                                <a:miter lim="800000"/>
                                <a:headEnd/>
                                <a:tailEnd/>
                              </a:ln>
                              <a:effectLst/>
                            </a:spPr>
                            <a:txSp>
                              <a:txBody>
                                <a:bodyPr wrap="none">
                                  <a:spAutoFit/>
                                </a:bodyPr>
                                <a:lstStyle>
                                  <a:defPPr>
                                    <a:defRPr lang="en-GB"/>
                                  </a:defPPr>
                                  <a:lvl1pPr algn="l" rtl="0" eaLnBrk="0" fontAlgn="base" hangingPunct="0">
                                    <a:spcBef>
                                      <a:spcPct val="20000"/>
                                    </a:spcBef>
                                    <a:spcAft>
                                      <a:spcPct val="0"/>
                                    </a:spcAft>
                                    <a:buClr>
                                      <a:schemeClr val="tx1"/>
                                    </a:buClr>
                                    <a:buSzPct val="75000"/>
                                    <a:buFont typeface="Monotype Sorts" pitchFamily="2" charset="2"/>
                                    <a:buChar char="q"/>
                                    <a:defRPr sz="2400" b="1" kern="1200">
                                      <a:solidFill>
                                        <a:schemeClr val="tx1"/>
                                      </a:solidFill>
                                      <a:latin typeface="Arial Narrow" pitchFamily="34" charset="0"/>
                                      <a:ea typeface="+mn-ea"/>
                                      <a:cs typeface="+mn-cs"/>
                                    </a:defRPr>
                                  </a:lvl1pPr>
                                  <a:lvl2pPr marL="457200" algn="l" rtl="0" eaLnBrk="0" fontAlgn="base" hangingPunct="0">
                                    <a:spcBef>
                                      <a:spcPct val="20000"/>
                                    </a:spcBef>
                                    <a:spcAft>
                                      <a:spcPct val="0"/>
                                    </a:spcAft>
                                    <a:buClr>
                                      <a:schemeClr val="tx1"/>
                                    </a:buClr>
                                    <a:buSzPct val="75000"/>
                                    <a:buFont typeface="Monotype Sorts" pitchFamily="2" charset="2"/>
                                    <a:buChar char="q"/>
                                    <a:defRPr sz="2400" b="1" kern="1200">
                                      <a:solidFill>
                                        <a:schemeClr val="tx1"/>
                                      </a:solidFill>
                                      <a:latin typeface="Arial Narrow" pitchFamily="34" charset="0"/>
                                      <a:ea typeface="+mn-ea"/>
                                      <a:cs typeface="+mn-cs"/>
                                    </a:defRPr>
                                  </a:lvl2pPr>
                                  <a:lvl3pPr marL="914400" algn="l" rtl="0" eaLnBrk="0" fontAlgn="base" hangingPunct="0">
                                    <a:spcBef>
                                      <a:spcPct val="20000"/>
                                    </a:spcBef>
                                    <a:spcAft>
                                      <a:spcPct val="0"/>
                                    </a:spcAft>
                                    <a:buClr>
                                      <a:schemeClr val="tx1"/>
                                    </a:buClr>
                                    <a:buSzPct val="75000"/>
                                    <a:buFont typeface="Monotype Sorts" pitchFamily="2" charset="2"/>
                                    <a:buChar char="q"/>
                                    <a:defRPr sz="2400" b="1" kern="1200">
                                      <a:solidFill>
                                        <a:schemeClr val="tx1"/>
                                      </a:solidFill>
                                      <a:latin typeface="Arial Narrow" pitchFamily="34" charset="0"/>
                                      <a:ea typeface="+mn-ea"/>
                                      <a:cs typeface="+mn-cs"/>
                                    </a:defRPr>
                                  </a:lvl3pPr>
                                  <a:lvl4pPr marL="1371600" algn="l" rtl="0" eaLnBrk="0" fontAlgn="base" hangingPunct="0">
                                    <a:spcBef>
                                      <a:spcPct val="20000"/>
                                    </a:spcBef>
                                    <a:spcAft>
                                      <a:spcPct val="0"/>
                                    </a:spcAft>
                                    <a:buClr>
                                      <a:schemeClr val="tx1"/>
                                    </a:buClr>
                                    <a:buSzPct val="75000"/>
                                    <a:buFont typeface="Monotype Sorts" pitchFamily="2" charset="2"/>
                                    <a:buChar char="q"/>
                                    <a:defRPr sz="2400" b="1" kern="1200">
                                      <a:solidFill>
                                        <a:schemeClr val="tx1"/>
                                      </a:solidFill>
                                      <a:latin typeface="Arial Narrow" pitchFamily="34" charset="0"/>
                                      <a:ea typeface="+mn-ea"/>
                                      <a:cs typeface="+mn-cs"/>
                                    </a:defRPr>
                                  </a:lvl4pPr>
                                  <a:lvl5pPr marL="1828800" algn="l" rtl="0" eaLnBrk="0" fontAlgn="base" hangingPunct="0">
                                    <a:spcBef>
                                      <a:spcPct val="20000"/>
                                    </a:spcBef>
                                    <a:spcAft>
                                      <a:spcPct val="0"/>
                                    </a:spcAft>
                                    <a:buClr>
                                      <a:schemeClr val="tx1"/>
                                    </a:buClr>
                                    <a:buSzPct val="75000"/>
                                    <a:buFont typeface="Monotype Sorts" pitchFamily="2" charset="2"/>
                                    <a:buChar char="q"/>
                                    <a:defRPr sz="2400" b="1" kern="1200">
                                      <a:solidFill>
                                        <a:schemeClr val="tx1"/>
                                      </a:solidFill>
                                      <a:latin typeface="Arial Narrow" pitchFamily="34" charset="0"/>
                                      <a:ea typeface="+mn-ea"/>
                                      <a:cs typeface="+mn-cs"/>
                                    </a:defRPr>
                                  </a:lvl5pPr>
                                  <a:lvl6pPr marL="2286000" algn="l" defTabSz="914400" rtl="0" eaLnBrk="1" latinLnBrk="0" hangingPunct="1">
                                    <a:defRPr sz="2400" b="1" kern="1200">
                                      <a:solidFill>
                                        <a:schemeClr val="tx1"/>
                                      </a:solidFill>
                                      <a:latin typeface="Arial Narrow" pitchFamily="34" charset="0"/>
                                      <a:ea typeface="+mn-ea"/>
                                      <a:cs typeface="+mn-cs"/>
                                    </a:defRPr>
                                  </a:lvl6pPr>
                                  <a:lvl7pPr marL="2743200" algn="l" defTabSz="914400" rtl="0" eaLnBrk="1" latinLnBrk="0" hangingPunct="1">
                                    <a:defRPr sz="2400" b="1" kern="1200">
                                      <a:solidFill>
                                        <a:schemeClr val="tx1"/>
                                      </a:solidFill>
                                      <a:latin typeface="Arial Narrow" pitchFamily="34" charset="0"/>
                                      <a:ea typeface="+mn-ea"/>
                                      <a:cs typeface="+mn-cs"/>
                                    </a:defRPr>
                                  </a:lvl7pPr>
                                  <a:lvl8pPr marL="3200400" algn="l" defTabSz="914400" rtl="0" eaLnBrk="1" latinLnBrk="0" hangingPunct="1">
                                    <a:defRPr sz="2400" b="1" kern="1200">
                                      <a:solidFill>
                                        <a:schemeClr val="tx1"/>
                                      </a:solidFill>
                                      <a:latin typeface="Arial Narrow" pitchFamily="34" charset="0"/>
                                      <a:ea typeface="+mn-ea"/>
                                      <a:cs typeface="+mn-cs"/>
                                    </a:defRPr>
                                  </a:lvl8pPr>
                                  <a:lvl9pPr marL="3657600" algn="l" defTabSz="914400" rtl="0" eaLnBrk="1" latinLnBrk="0" hangingPunct="1">
                                    <a:defRPr sz="2400" b="1" kern="1200">
                                      <a:solidFill>
                                        <a:schemeClr val="tx1"/>
                                      </a:solidFill>
                                      <a:latin typeface="Arial Narrow" pitchFamily="34" charset="0"/>
                                      <a:ea typeface="+mn-ea"/>
                                      <a:cs typeface="+mn-cs"/>
                                    </a:defRPr>
                                  </a:lvl9pPr>
                                </a:lstStyle>
                                <a:p>
                                  <a:pPr algn="r">
                                    <a:spcBef>
                                      <a:spcPct val="0"/>
                                    </a:spcBef>
                                    <a:buClrTx/>
                                    <a:buSzTx/>
                                    <a:buFontTx/>
                                    <a:buNone/>
                                  </a:pPr>
                                  <a:r>
                                    <a:rPr lang="en-CA" sz="1400" dirty="0" smtClean="0"/>
                                    <a:t>myosin</a:t>
                                  </a:r>
                                  <a:endParaRPr lang="en-CA" sz="1400" dirty="0"/>
                                </a:p>
                              </a:txBody>
                              <a:useSpRect/>
                            </a:txSp>
                          </a:sp>
                          <a:sp>
                            <a:nvSpPr>
                              <a:cNvPr id="14" name="Text Box 3"/>
                              <a:cNvSpPr txBox="1">
                                <a:spLocks noChangeArrowheads="1"/>
                              </a:cNvSpPr>
                            </a:nvSpPr>
                            <a:spPr bwMode="auto">
                              <a:xfrm>
                                <a:off x="7207089" y="6400123"/>
                                <a:ext cx="1178528" cy="307777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noFill/>
                                <a:miter lim="800000"/>
                                <a:headEnd/>
                                <a:tailEnd/>
                              </a:ln>
                              <a:effectLst/>
                            </a:spPr>
                            <a:txSp>
                              <a:txBody>
                                <a:bodyPr wrap="none">
                                  <a:spAutoFit/>
                                </a:bodyPr>
                                <a:lstStyle>
                                  <a:defPPr>
                                    <a:defRPr lang="en-GB"/>
                                  </a:defPPr>
                                  <a:lvl1pPr algn="l" rtl="0" eaLnBrk="0" fontAlgn="base" hangingPunct="0">
                                    <a:spcBef>
                                      <a:spcPct val="20000"/>
                                    </a:spcBef>
                                    <a:spcAft>
                                      <a:spcPct val="0"/>
                                    </a:spcAft>
                                    <a:buClr>
                                      <a:schemeClr val="tx1"/>
                                    </a:buClr>
                                    <a:buSzPct val="75000"/>
                                    <a:buFont typeface="Monotype Sorts" pitchFamily="2" charset="2"/>
                                    <a:buChar char="q"/>
                                    <a:defRPr sz="2400" b="1" kern="1200">
                                      <a:solidFill>
                                        <a:schemeClr val="tx1"/>
                                      </a:solidFill>
                                      <a:latin typeface="Arial Narrow" pitchFamily="34" charset="0"/>
                                      <a:ea typeface="+mn-ea"/>
                                      <a:cs typeface="+mn-cs"/>
                                    </a:defRPr>
                                  </a:lvl1pPr>
                                  <a:lvl2pPr marL="457200" algn="l" rtl="0" eaLnBrk="0" fontAlgn="base" hangingPunct="0">
                                    <a:spcBef>
                                      <a:spcPct val="20000"/>
                                    </a:spcBef>
                                    <a:spcAft>
                                      <a:spcPct val="0"/>
                                    </a:spcAft>
                                    <a:buClr>
                                      <a:schemeClr val="tx1"/>
                                    </a:buClr>
                                    <a:buSzPct val="75000"/>
                                    <a:buFont typeface="Monotype Sorts" pitchFamily="2" charset="2"/>
                                    <a:buChar char="q"/>
                                    <a:defRPr sz="2400" b="1" kern="1200">
                                      <a:solidFill>
                                        <a:schemeClr val="tx1"/>
                                      </a:solidFill>
                                      <a:latin typeface="Arial Narrow" pitchFamily="34" charset="0"/>
                                      <a:ea typeface="+mn-ea"/>
                                      <a:cs typeface="+mn-cs"/>
                                    </a:defRPr>
                                  </a:lvl2pPr>
                                  <a:lvl3pPr marL="914400" algn="l" rtl="0" eaLnBrk="0" fontAlgn="base" hangingPunct="0">
                                    <a:spcBef>
                                      <a:spcPct val="20000"/>
                                    </a:spcBef>
                                    <a:spcAft>
                                      <a:spcPct val="0"/>
                                    </a:spcAft>
                                    <a:buClr>
                                      <a:schemeClr val="tx1"/>
                                    </a:buClr>
                                    <a:buSzPct val="75000"/>
                                    <a:buFont typeface="Monotype Sorts" pitchFamily="2" charset="2"/>
                                    <a:buChar char="q"/>
                                    <a:defRPr sz="2400" b="1" kern="1200">
                                      <a:solidFill>
                                        <a:schemeClr val="tx1"/>
                                      </a:solidFill>
                                      <a:latin typeface="Arial Narrow" pitchFamily="34" charset="0"/>
                                      <a:ea typeface="+mn-ea"/>
                                      <a:cs typeface="+mn-cs"/>
                                    </a:defRPr>
                                  </a:lvl3pPr>
                                  <a:lvl4pPr marL="1371600" algn="l" rtl="0" eaLnBrk="0" fontAlgn="base" hangingPunct="0">
                                    <a:spcBef>
                                      <a:spcPct val="20000"/>
                                    </a:spcBef>
                                    <a:spcAft>
                                      <a:spcPct val="0"/>
                                    </a:spcAft>
                                    <a:buClr>
                                      <a:schemeClr val="tx1"/>
                                    </a:buClr>
                                    <a:buSzPct val="75000"/>
                                    <a:buFont typeface="Monotype Sorts" pitchFamily="2" charset="2"/>
                                    <a:buChar char="q"/>
                                    <a:defRPr sz="2400" b="1" kern="1200">
                                      <a:solidFill>
                                        <a:schemeClr val="tx1"/>
                                      </a:solidFill>
                                      <a:latin typeface="Arial Narrow" pitchFamily="34" charset="0"/>
                                      <a:ea typeface="+mn-ea"/>
                                      <a:cs typeface="+mn-cs"/>
                                    </a:defRPr>
                                  </a:lvl4pPr>
                                  <a:lvl5pPr marL="1828800" algn="l" rtl="0" eaLnBrk="0" fontAlgn="base" hangingPunct="0">
                                    <a:spcBef>
                                      <a:spcPct val="20000"/>
                                    </a:spcBef>
                                    <a:spcAft>
                                      <a:spcPct val="0"/>
                                    </a:spcAft>
                                    <a:buClr>
                                      <a:schemeClr val="tx1"/>
                                    </a:buClr>
                                    <a:buSzPct val="75000"/>
                                    <a:buFont typeface="Monotype Sorts" pitchFamily="2" charset="2"/>
                                    <a:buChar char="q"/>
                                    <a:defRPr sz="2400" b="1" kern="1200">
                                      <a:solidFill>
                                        <a:schemeClr val="tx1"/>
                                      </a:solidFill>
                                      <a:latin typeface="Arial Narrow" pitchFamily="34" charset="0"/>
                                      <a:ea typeface="+mn-ea"/>
                                      <a:cs typeface="+mn-cs"/>
                                    </a:defRPr>
                                  </a:lvl5pPr>
                                  <a:lvl6pPr marL="2286000" algn="l" defTabSz="914400" rtl="0" eaLnBrk="1" latinLnBrk="0" hangingPunct="1">
                                    <a:defRPr sz="2400" b="1" kern="1200">
                                      <a:solidFill>
                                        <a:schemeClr val="tx1"/>
                                      </a:solidFill>
                                      <a:latin typeface="Arial Narrow" pitchFamily="34" charset="0"/>
                                      <a:ea typeface="+mn-ea"/>
                                      <a:cs typeface="+mn-cs"/>
                                    </a:defRPr>
                                  </a:lvl6pPr>
                                  <a:lvl7pPr marL="2743200" algn="l" defTabSz="914400" rtl="0" eaLnBrk="1" latinLnBrk="0" hangingPunct="1">
                                    <a:defRPr sz="2400" b="1" kern="1200">
                                      <a:solidFill>
                                        <a:schemeClr val="tx1"/>
                                      </a:solidFill>
                                      <a:latin typeface="Arial Narrow" pitchFamily="34" charset="0"/>
                                      <a:ea typeface="+mn-ea"/>
                                      <a:cs typeface="+mn-cs"/>
                                    </a:defRPr>
                                  </a:lvl7pPr>
                                  <a:lvl8pPr marL="3200400" algn="l" defTabSz="914400" rtl="0" eaLnBrk="1" latinLnBrk="0" hangingPunct="1">
                                    <a:defRPr sz="2400" b="1" kern="1200">
                                      <a:solidFill>
                                        <a:schemeClr val="tx1"/>
                                      </a:solidFill>
                                      <a:latin typeface="Arial Narrow" pitchFamily="34" charset="0"/>
                                      <a:ea typeface="+mn-ea"/>
                                      <a:cs typeface="+mn-cs"/>
                                    </a:defRPr>
                                  </a:lvl8pPr>
                                  <a:lvl9pPr marL="3657600" algn="l" defTabSz="914400" rtl="0" eaLnBrk="1" latinLnBrk="0" hangingPunct="1">
                                    <a:defRPr sz="2400" b="1" kern="1200">
                                      <a:solidFill>
                                        <a:schemeClr val="tx1"/>
                                      </a:solidFill>
                                      <a:latin typeface="Arial Narrow" pitchFamily="34" charset="0"/>
                                      <a:ea typeface="+mn-ea"/>
                                      <a:cs typeface="+mn-cs"/>
                                    </a:defRPr>
                                  </a:lvl9pPr>
                                </a:lstStyle>
                                <a:p>
                                  <a:pPr algn="r">
                                    <a:spcBef>
                                      <a:spcPct val="0"/>
                                    </a:spcBef>
                                    <a:buClrTx/>
                                    <a:buSzTx/>
                                    <a:buFontTx/>
                                    <a:buNone/>
                                  </a:pPr>
                                  <a:r>
                                    <a:rPr lang="en-CA" sz="1400" dirty="0" err="1" smtClean="0"/>
                                    <a:t>lamellipodium</a:t>
                                  </a:r>
                                  <a:endParaRPr lang="en-CA" sz="1400" dirty="0"/>
                                </a:p>
                              </a:txBody>
                              <a:useSpRect/>
                            </a:txSp>
                          </a:sp>
                          <a:cxnSp>
                            <a:nvCxnSpPr>
                              <a:cNvPr id="16" name="Straight Connector 15"/>
                              <a:cNvCxnSpPr/>
                            </a:nvCxnSpPr>
                            <a:spPr bwMode="auto">
                              <a:xfrm rot="16200000" flipH="1">
                                <a:off x="4388866" y="4510611"/>
                                <a:ext cx="941696" cy="272955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chemeClr val="tx1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</a:spPr>
                          </a:cxnSp>
                          <a:cxnSp>
                            <a:nvCxnSpPr>
                              <a:cNvPr id="18" name="Straight Connector 17"/>
                              <a:cNvCxnSpPr>
                                <a:stCxn id="12" idx="2"/>
                              </a:cNvCxnSpPr>
                            </a:nvCxnSpPr>
                            <a:spPr bwMode="auto">
                              <a:xfrm rot="16200000" flipH="1">
                                <a:off x="5796967" y="4963370"/>
                                <a:ext cx="757452" cy="288663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chemeClr val="tx1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</a:spPr>
                          </a:cxnSp>
                          <a:cxnSp>
                            <a:nvCxnSpPr>
                              <a:cNvPr id="20" name="Straight Connector 19"/>
                              <a:cNvCxnSpPr/>
                            </a:nvCxnSpPr>
                            <a:spPr bwMode="auto">
                              <a:xfrm rot="16200000" flipH="1">
                                <a:off x="7286789" y="4883699"/>
                                <a:ext cx="406234" cy="62242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chemeClr val="tx1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</a:spPr>
                          </a:cxnSp>
                          <a:cxnSp>
                            <a:nvCxnSpPr>
                              <a:cNvPr id="23" name="Straight Connector 22"/>
                              <a:cNvCxnSpPr/>
                            </a:nvCxnSpPr>
                            <a:spPr bwMode="auto">
                              <a:xfrm rot="16200000" flipV="1">
                                <a:off x="7213954" y="5943626"/>
                                <a:ext cx="668741" cy="191069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chemeClr val="tx1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</a:spPr>
                          </a:cxnSp>
                        </a:grpSp>
                      </lc:lockedCanvas>
                    </a:graphicData>
                  </a:graphic>
                </wp:inline>
              </w:drawing>
            </w:r>
          </w:p>
          <w:p w:rsidR="0022690F" w:rsidRDefault="0022690F" w:rsidP="0022690F">
            <w:pPr>
              <w:rPr>
                <w:rFonts w:ascii="Cambria Math" w:hAnsi="Cambria Math"/>
              </w:rPr>
            </w:pPr>
          </w:p>
          <w:p w:rsidR="0022690F" w:rsidRPr="0022690F" w:rsidRDefault="0022690F" w:rsidP="00FD7EC7">
            <w:pPr>
              <w:jc w:val="center"/>
              <w:rPr>
                <w:rFonts w:ascii="Cambria Math" w:hAnsi="Cambria Math"/>
              </w:rPr>
            </w:pPr>
            <w:r w:rsidRPr="0022690F">
              <w:rPr>
                <w:rFonts w:ascii="Cambria Math" w:hAnsi="Cambria Math"/>
                <w:noProof/>
                <w:lang w:eastAsia="en-CA"/>
              </w:rPr>
              <w:drawing>
                <wp:inline distT="0" distB="0" distL="0" distR="0">
                  <wp:extent cx="2708936" cy="4094327"/>
                  <wp:effectExtent l="19050" t="0" r="0" b="0"/>
                  <wp:docPr id="10" name="Picture 9" descr="http://www.ncbi.nlm.nih.gov/books/NBK9961/bin/ch11f30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62" name="Picture 2" descr="http://www.ncbi.nlm.nih.gov/books/NBK9961/bin/ch11f3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8936" cy="409432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27C16" w:rsidRDefault="00327C16" w:rsidP="00836401">
      <w:pPr>
        <w:spacing w:after="0"/>
        <w:rPr>
          <w:rFonts w:ascii="Cambria Math" w:hAnsi="Cambria Math"/>
        </w:rPr>
      </w:pPr>
    </w:p>
    <w:p w:rsidR="00836401" w:rsidRDefault="00836401" w:rsidP="00836401">
      <w:pPr>
        <w:spacing w:after="0"/>
        <w:rPr>
          <w:rFonts w:ascii="Cambria Math" w:hAnsi="Cambria Math"/>
        </w:rPr>
      </w:pPr>
      <w:r>
        <w:rPr>
          <w:rFonts w:ascii="Cambria Math" w:hAnsi="Cambria Math"/>
        </w:rPr>
        <w:t>8. Contrast and compare the structure and function of microvilli and cilia/flagella</w:t>
      </w:r>
    </w:p>
    <w:tbl>
      <w:tblPr>
        <w:tblStyle w:val="TableGrid"/>
        <w:tblW w:w="10598" w:type="dxa"/>
        <w:tblLook w:val="04A0"/>
      </w:tblPr>
      <w:tblGrid>
        <w:gridCol w:w="4788"/>
        <w:gridCol w:w="2833"/>
        <w:gridCol w:w="2977"/>
      </w:tblGrid>
      <w:tr w:rsidR="00761185" w:rsidTr="002D6896">
        <w:tc>
          <w:tcPr>
            <w:tcW w:w="4788" w:type="dxa"/>
          </w:tcPr>
          <w:p w:rsidR="00761185" w:rsidRDefault="00761185" w:rsidP="00836401">
            <w:p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Microvilli</w:t>
            </w:r>
          </w:p>
        </w:tc>
        <w:tc>
          <w:tcPr>
            <w:tcW w:w="5810" w:type="dxa"/>
            <w:gridSpan w:val="2"/>
          </w:tcPr>
          <w:p w:rsidR="00761185" w:rsidRDefault="00513631" w:rsidP="00836401">
            <w:p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Cilia/</w:t>
            </w:r>
            <w:r w:rsidR="00761185">
              <w:rPr>
                <w:rFonts w:ascii="Cambria Math" w:hAnsi="Cambria Math"/>
              </w:rPr>
              <w:t>Flagella</w:t>
            </w:r>
          </w:p>
        </w:tc>
      </w:tr>
      <w:tr w:rsidR="002D6896" w:rsidTr="002D6896">
        <w:trPr>
          <w:trHeight w:val="288"/>
        </w:trPr>
        <w:tc>
          <w:tcPr>
            <w:tcW w:w="4788" w:type="dxa"/>
            <w:vMerge w:val="restart"/>
          </w:tcPr>
          <w:p w:rsidR="002D6896" w:rsidRDefault="002D6896" w:rsidP="00513631">
            <w:pPr>
              <w:pStyle w:val="ListParagraph"/>
              <w:numPr>
                <w:ilvl w:val="0"/>
                <w:numId w:val="9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Short numerous protrusions in the cell membrane</w:t>
            </w:r>
          </w:p>
          <w:p w:rsidR="002D6896" w:rsidRPr="0025037E" w:rsidRDefault="002D6896" w:rsidP="0062354E">
            <w:pPr>
              <w:pStyle w:val="ListParagraph"/>
              <w:numPr>
                <w:ilvl w:val="5"/>
                <w:numId w:val="5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In cell transport (</w:t>
            </w:r>
            <w:r w:rsidRPr="0025037E">
              <w:rPr>
                <w:rFonts w:ascii="Cambria Math" w:hAnsi="Cambria Math"/>
              </w:rPr>
              <w:t>i.e. kidney, intestine</w:t>
            </w:r>
            <w:r>
              <w:rPr>
                <w:rFonts w:ascii="Cambria Math" w:hAnsi="Cambria Math"/>
              </w:rPr>
              <w:t>)</w:t>
            </w:r>
          </w:p>
          <w:p w:rsidR="002D6896" w:rsidRDefault="002D6896" w:rsidP="0062354E">
            <w:pPr>
              <w:pStyle w:val="ListParagraph"/>
              <w:numPr>
                <w:ilvl w:val="3"/>
                <w:numId w:val="5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Shape given by a regular array of MF bundled into parallel fibres</w:t>
            </w:r>
          </w:p>
          <w:p w:rsidR="002D6896" w:rsidRDefault="002D6896" w:rsidP="0062354E">
            <w:pPr>
              <w:pStyle w:val="ListParagraph"/>
              <w:numPr>
                <w:ilvl w:val="3"/>
                <w:numId w:val="5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 xml:space="preserve">Orientation: - end towards the cell and + end at the tip of the micro villus </w:t>
            </w:r>
          </w:p>
          <w:p w:rsidR="002D6896" w:rsidRDefault="002D6896" w:rsidP="0062354E">
            <w:pPr>
              <w:pStyle w:val="ListParagraph"/>
              <w:numPr>
                <w:ilvl w:val="3"/>
                <w:numId w:val="5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lastRenderedPageBreak/>
              <w:t xml:space="preserve">Array of MF is stabilized (don’t break down) and linked together by actin binding proteins </w:t>
            </w:r>
          </w:p>
          <w:p w:rsidR="002D6896" w:rsidRDefault="002D6896" w:rsidP="0062354E">
            <w:pPr>
              <w:pStyle w:val="ListParagraph"/>
              <w:numPr>
                <w:ilvl w:val="3"/>
                <w:numId w:val="5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Also linked to the plasma membrane along the sides and up at the top → provides the shape and the rigidity of the microvillus</w:t>
            </w:r>
          </w:p>
          <w:p w:rsidR="002D6896" w:rsidRDefault="002D6896" w:rsidP="0062354E">
            <w:pPr>
              <w:pStyle w:val="ListParagraph"/>
              <w:numPr>
                <w:ilvl w:val="3"/>
                <w:numId w:val="5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Bottom supported by a network of proteins that allows them to support the cell extensions</w:t>
            </w:r>
          </w:p>
          <w:p w:rsidR="002D6896" w:rsidRPr="0062354E" w:rsidRDefault="002D6896" w:rsidP="0062354E">
            <w:pPr>
              <w:pStyle w:val="ListParagraph"/>
              <w:ind w:left="643"/>
              <w:rPr>
                <w:rFonts w:ascii="Cambria Math" w:hAnsi="Cambria Math"/>
              </w:rPr>
            </w:pPr>
          </w:p>
          <w:p w:rsidR="002D6896" w:rsidRPr="00513631" w:rsidRDefault="002D6896" w:rsidP="002D6896">
            <w:pPr>
              <w:rPr>
                <w:rFonts w:ascii="Cambria Math" w:hAnsi="Cambria Math"/>
              </w:rPr>
            </w:pPr>
          </w:p>
        </w:tc>
        <w:tc>
          <w:tcPr>
            <w:tcW w:w="2833" w:type="dxa"/>
          </w:tcPr>
          <w:p w:rsidR="002D6896" w:rsidRDefault="002D6896" w:rsidP="00196610">
            <w:p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lastRenderedPageBreak/>
              <w:t>Cilia</w:t>
            </w:r>
          </w:p>
        </w:tc>
        <w:tc>
          <w:tcPr>
            <w:tcW w:w="2977" w:type="dxa"/>
          </w:tcPr>
          <w:p w:rsidR="002D6896" w:rsidRDefault="002D6896" w:rsidP="00196610">
            <w:p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Flagella</w:t>
            </w:r>
          </w:p>
        </w:tc>
      </w:tr>
      <w:tr w:rsidR="002D6896" w:rsidTr="00F47865">
        <w:trPr>
          <w:trHeight w:val="288"/>
        </w:trPr>
        <w:tc>
          <w:tcPr>
            <w:tcW w:w="4788" w:type="dxa"/>
            <w:vMerge/>
          </w:tcPr>
          <w:p w:rsidR="002D6896" w:rsidRDefault="002D6896" w:rsidP="00513631">
            <w:pPr>
              <w:pStyle w:val="ListParagraph"/>
              <w:numPr>
                <w:ilvl w:val="0"/>
                <w:numId w:val="9"/>
              </w:numPr>
              <w:rPr>
                <w:rFonts w:ascii="Cambria Math" w:hAnsi="Cambria Math"/>
              </w:rPr>
            </w:pPr>
          </w:p>
        </w:tc>
        <w:tc>
          <w:tcPr>
            <w:tcW w:w="5810" w:type="dxa"/>
            <w:gridSpan w:val="2"/>
          </w:tcPr>
          <w:p w:rsidR="00E47C47" w:rsidRDefault="00997324" w:rsidP="00E47C47">
            <w:p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Structure</w:t>
            </w:r>
            <w:r w:rsidR="00E47C47">
              <w:rPr>
                <w:rFonts w:ascii="Cambria Math" w:hAnsi="Cambria Math"/>
              </w:rPr>
              <w:t>:</w:t>
            </w:r>
          </w:p>
          <w:p w:rsidR="002D6896" w:rsidRPr="00E47C47" w:rsidRDefault="00997324" w:rsidP="00E47C47">
            <w:pPr>
              <w:pStyle w:val="ListParagraph"/>
              <w:numPr>
                <w:ilvl w:val="0"/>
                <w:numId w:val="9"/>
              </w:numPr>
              <w:rPr>
                <w:rFonts w:ascii="Cambria Math" w:hAnsi="Cambria Math"/>
              </w:rPr>
            </w:pPr>
            <w:r w:rsidRPr="00E47C47">
              <w:rPr>
                <w:rFonts w:ascii="Cambria Math" w:hAnsi="Cambria Math"/>
              </w:rPr>
              <w:t xml:space="preserve">Axonemae: </w:t>
            </w:r>
            <w:r w:rsidR="002D6896" w:rsidRPr="00E47C47">
              <w:rPr>
                <w:rFonts w:ascii="Cambria Math" w:hAnsi="Cambria Math"/>
              </w:rPr>
              <w:t xml:space="preserve"> a 9+2 configuration </w:t>
            </w:r>
            <w:r w:rsidRPr="00E47C47">
              <w:rPr>
                <w:rFonts w:ascii="Cambria Math" w:hAnsi="Cambria Math"/>
              </w:rPr>
              <w:t>of MTs (2 MTs in the Centre + 9 Pairs of MTs</w:t>
            </w:r>
            <w:r w:rsidR="000239D5" w:rsidRPr="00E47C47">
              <w:rPr>
                <w:rFonts w:ascii="Cambria Math" w:hAnsi="Cambria Math"/>
              </w:rPr>
              <w:t>(doublets)</w:t>
            </w:r>
            <w:r w:rsidRPr="00E47C47">
              <w:rPr>
                <w:rFonts w:ascii="Cambria Math" w:hAnsi="Cambria Math"/>
              </w:rPr>
              <w:t xml:space="preserve"> around the centre) </w:t>
            </w:r>
            <w:r w:rsidR="000239D5" w:rsidRPr="00E47C47">
              <w:rPr>
                <w:rFonts w:ascii="Cambria Math" w:hAnsi="Cambria Math"/>
              </w:rPr>
              <w:t xml:space="preserve">anchores </w:t>
            </w:r>
            <w:r w:rsidR="002D6896" w:rsidRPr="00E47C47">
              <w:rPr>
                <w:rFonts w:ascii="Cambria Math" w:hAnsi="Cambria Math"/>
              </w:rPr>
              <w:t>by basal bodies (MTOC)</w:t>
            </w:r>
          </w:p>
          <w:p w:rsidR="00E47C47" w:rsidRPr="003B375B" w:rsidRDefault="000239D5" w:rsidP="003B375B">
            <w:pPr>
              <w:pStyle w:val="ListParagraph"/>
              <w:numPr>
                <w:ilvl w:val="3"/>
                <w:numId w:val="5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Doublet = 1 complete MT (A) + 1 partial MT (B) (piggy-backed onto the MT)</w:t>
            </w:r>
          </w:p>
          <w:p w:rsidR="000239D5" w:rsidRDefault="000239D5" w:rsidP="00997324">
            <w:pPr>
              <w:pStyle w:val="ListParagraph"/>
              <w:numPr>
                <w:ilvl w:val="3"/>
                <w:numId w:val="5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lastRenderedPageBreak/>
              <w:t>Spokes link doublets to the centre</w:t>
            </w:r>
          </w:p>
          <w:p w:rsidR="000239D5" w:rsidRDefault="000239D5" w:rsidP="00997324">
            <w:pPr>
              <w:pStyle w:val="ListParagraph"/>
              <w:numPr>
                <w:ilvl w:val="3"/>
                <w:numId w:val="5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Connections between the doublets  = nexin links</w:t>
            </w:r>
          </w:p>
          <w:p w:rsidR="000239D5" w:rsidRDefault="000239D5" w:rsidP="00997324">
            <w:pPr>
              <w:pStyle w:val="ListParagraph"/>
              <w:numPr>
                <w:ilvl w:val="3"/>
                <w:numId w:val="5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Basal bodies anchor – ends and the + ends go towards the cilium or the flagellum</w:t>
            </w:r>
          </w:p>
          <w:p w:rsidR="000239D5" w:rsidRDefault="000239D5" w:rsidP="00997324">
            <w:pPr>
              <w:pStyle w:val="ListParagraph"/>
              <w:numPr>
                <w:ilvl w:val="3"/>
                <w:numId w:val="5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Basal Bodies = 9 triplets of MTs used as a template for the 9 doublets use to</w:t>
            </w:r>
            <w:r w:rsidR="00E47C47">
              <w:rPr>
                <w:rFonts w:ascii="Cambria Math" w:hAnsi="Cambria Math"/>
              </w:rPr>
              <w:t xml:space="preserve"> form the 9 components of the axoneme</w:t>
            </w:r>
          </w:p>
          <w:p w:rsidR="00E47C47" w:rsidRDefault="00E47C47" w:rsidP="00E47C47">
            <w:p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Axonemal Dyenin:</w:t>
            </w:r>
          </w:p>
          <w:p w:rsidR="00E47C47" w:rsidRDefault="00E47C47" w:rsidP="00E47C47">
            <w:pPr>
              <w:pStyle w:val="ListParagraph"/>
              <w:numPr>
                <w:ilvl w:val="0"/>
                <w:numId w:val="16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Extends from the A tubule to the B tubule of the adjacent MT where it can walk along the MT (it’s a motor protein)</w:t>
            </w:r>
          </w:p>
          <w:p w:rsidR="003B375B" w:rsidRPr="003B375B" w:rsidRDefault="003B375B" w:rsidP="003B375B">
            <w:pPr>
              <w:pStyle w:val="ListParagraph"/>
              <w:numPr>
                <w:ilvl w:val="1"/>
                <w:numId w:val="16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Will cause sliding filaments. NOTE: filaments don’t actually slide past each other because they are anchored. INSTEAD THE WHOLE STRICTURE BENDS!</w:t>
            </w:r>
          </w:p>
        </w:tc>
      </w:tr>
      <w:tr w:rsidR="002D6896" w:rsidTr="002D6896">
        <w:trPr>
          <w:trHeight w:val="3918"/>
        </w:trPr>
        <w:tc>
          <w:tcPr>
            <w:tcW w:w="4788" w:type="dxa"/>
            <w:vMerge/>
          </w:tcPr>
          <w:p w:rsidR="002D6896" w:rsidRDefault="002D6896" w:rsidP="00513631">
            <w:pPr>
              <w:pStyle w:val="ListParagraph"/>
              <w:numPr>
                <w:ilvl w:val="0"/>
                <w:numId w:val="9"/>
              </w:numPr>
              <w:rPr>
                <w:rFonts w:ascii="Cambria Math" w:hAnsi="Cambria Math"/>
              </w:rPr>
            </w:pPr>
          </w:p>
        </w:tc>
        <w:tc>
          <w:tcPr>
            <w:tcW w:w="2833" w:type="dxa"/>
          </w:tcPr>
          <w:p w:rsidR="002D6896" w:rsidRDefault="002D6896" w:rsidP="002D6896">
            <w:pPr>
              <w:pStyle w:val="ListParagraph"/>
              <w:numPr>
                <w:ilvl w:val="0"/>
                <w:numId w:val="15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Shorter ( less than 10 microns)</w:t>
            </w:r>
          </w:p>
          <w:p w:rsidR="002D6896" w:rsidRDefault="002D6896" w:rsidP="002D6896">
            <w:pPr>
              <w:pStyle w:val="ListParagraph"/>
              <w:numPr>
                <w:ilvl w:val="0"/>
                <w:numId w:val="15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Many  cilia lining a surface</w:t>
            </w:r>
          </w:p>
          <w:p w:rsidR="002D6896" w:rsidRDefault="002D6896" w:rsidP="002D6896">
            <w:pPr>
              <w:pStyle w:val="ListParagraph"/>
              <w:numPr>
                <w:ilvl w:val="0"/>
                <w:numId w:val="15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Action: rowing action (move to one side then back)</w:t>
            </w:r>
          </w:p>
          <w:p w:rsidR="002D6896" w:rsidRDefault="002D6896" w:rsidP="002D6896">
            <w:pPr>
              <w:pStyle w:val="ListParagraph"/>
              <w:numPr>
                <w:ilvl w:val="0"/>
                <w:numId w:val="15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 xml:space="preserve">Move Cells: on protist (i.e. paramecium) </w:t>
            </w:r>
          </w:p>
          <w:p w:rsidR="002D6896" w:rsidRPr="00E5789D" w:rsidRDefault="002D6896" w:rsidP="002D6896">
            <w:pPr>
              <w:pStyle w:val="ListParagraph"/>
              <w:numPr>
                <w:ilvl w:val="0"/>
                <w:numId w:val="15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Move fluid across the cell cell (i.e. mucous and fluids overtop of the cells)</w:t>
            </w:r>
          </w:p>
        </w:tc>
        <w:tc>
          <w:tcPr>
            <w:tcW w:w="2977" w:type="dxa"/>
          </w:tcPr>
          <w:p w:rsidR="002D6896" w:rsidRDefault="002D6896" w:rsidP="002D6896">
            <w:pPr>
              <w:pStyle w:val="ListParagraph"/>
              <w:numPr>
                <w:ilvl w:val="0"/>
                <w:numId w:val="15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Long (10-200 microns)</w:t>
            </w:r>
          </w:p>
          <w:p w:rsidR="002D6896" w:rsidRDefault="002D6896" w:rsidP="002D6896">
            <w:pPr>
              <w:pStyle w:val="ListParagraph"/>
              <w:numPr>
                <w:ilvl w:val="0"/>
                <w:numId w:val="15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Max  of 2 on a given cell</w:t>
            </w:r>
          </w:p>
          <w:p w:rsidR="002D6896" w:rsidRDefault="002D6896" w:rsidP="002D6896">
            <w:pPr>
              <w:pStyle w:val="ListParagraph"/>
              <w:numPr>
                <w:ilvl w:val="0"/>
                <w:numId w:val="15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Action: like a sine wave</w:t>
            </w:r>
          </w:p>
          <w:p w:rsidR="002D6896" w:rsidRPr="00E5789D" w:rsidRDefault="002D6896" w:rsidP="002D6896">
            <w:pPr>
              <w:pStyle w:val="ListParagraph"/>
              <w:numPr>
                <w:ilvl w:val="0"/>
                <w:numId w:val="15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Moves the cell only</w:t>
            </w:r>
          </w:p>
        </w:tc>
      </w:tr>
    </w:tbl>
    <w:p w:rsidR="00761185" w:rsidRDefault="00513631" w:rsidP="00E47C47">
      <w:pPr>
        <w:spacing w:after="0"/>
        <w:rPr>
          <w:rFonts w:ascii="Cambria Math" w:hAnsi="Cambria Math"/>
        </w:rPr>
      </w:pPr>
      <w:r w:rsidRPr="00513631">
        <w:rPr>
          <w:rFonts w:ascii="Cambria Math" w:hAnsi="Cambria Math"/>
          <w:noProof/>
          <w:lang w:eastAsia="en-CA"/>
        </w:rPr>
        <w:lastRenderedPageBreak/>
        <w:drawing>
          <wp:inline distT="0" distB="0" distL="0" distR="0">
            <wp:extent cx="3218825" cy="4137285"/>
            <wp:effectExtent l="19050" t="0" r="625" b="0"/>
            <wp:docPr id="2" name="Picture 2" descr="152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 descr="1520.jpg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rcRect b="4067"/>
                    <a:stretch>
                      <a:fillRect/>
                    </a:stretch>
                  </pic:blipFill>
                  <pic:spPr>
                    <a:xfrm>
                      <a:off x="0" y="0"/>
                      <a:ext cx="3224588" cy="41446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B375B" w:rsidRPr="003B375B">
        <w:rPr>
          <w:rFonts w:ascii="Cambria Math" w:hAnsi="Cambria Math"/>
          <w:noProof/>
          <w:lang w:eastAsia="en-CA"/>
        </w:rPr>
        <w:drawing>
          <wp:inline distT="0" distB="0" distL="0" distR="0">
            <wp:extent cx="2619219" cy="4137285"/>
            <wp:effectExtent l="19050" t="0" r="0" b="0"/>
            <wp:docPr id="20" name="Picture 12" descr="C02_F25_pg04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0" descr="C02_F25_pg041.jpg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rcRect l="2748" t="6786" r="59895" b="3393"/>
                    <a:stretch>
                      <a:fillRect/>
                    </a:stretch>
                  </pic:blipFill>
                  <pic:spPr>
                    <a:xfrm>
                      <a:off x="0" y="0"/>
                      <a:ext cx="2641694" cy="41727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7C16" w:rsidRDefault="002D6896" w:rsidP="00836401">
      <w:pPr>
        <w:spacing w:after="0"/>
        <w:rPr>
          <w:rFonts w:ascii="Cambria Math" w:hAnsi="Cambria Math"/>
        </w:rPr>
      </w:pPr>
      <w:r w:rsidRPr="002D6896">
        <w:rPr>
          <w:rFonts w:ascii="Cambria Math" w:hAnsi="Cambria Math"/>
          <w:noProof/>
          <w:lang w:eastAsia="en-CA"/>
        </w:rPr>
        <w:drawing>
          <wp:inline distT="0" distB="0" distL="0" distR="0">
            <wp:extent cx="2334406" cy="2668249"/>
            <wp:effectExtent l="19050" t="0" r="8744" b="0"/>
            <wp:docPr id="18" name="Picture 13" descr="17_28_dynein_flagell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7" descr="17_28_dynein_flagell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52278" t="16628" r="8276" b="276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807" cy="26675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836401" w:rsidRPr="009B236F" w:rsidRDefault="00836401" w:rsidP="00836401">
      <w:pPr>
        <w:spacing w:after="0"/>
        <w:rPr>
          <w:rFonts w:ascii="Cambria Math" w:hAnsi="Cambria Math"/>
          <w:b/>
        </w:rPr>
      </w:pPr>
      <w:r w:rsidRPr="009B236F">
        <w:rPr>
          <w:rFonts w:ascii="Cambria Math" w:hAnsi="Cambria Math"/>
          <w:b/>
        </w:rPr>
        <w:t>9. Discuss the basis and significance of microtubule lability, with examples</w:t>
      </w:r>
      <w:r w:rsidR="00761185" w:rsidRPr="009B236F">
        <w:rPr>
          <w:rFonts w:ascii="Cambria Math" w:hAnsi="Cambria Math"/>
          <w:b/>
        </w:rPr>
        <w:t>:</w:t>
      </w:r>
    </w:p>
    <w:p w:rsidR="00C55FAF" w:rsidRDefault="00C55FAF" w:rsidP="002F16A9">
      <w:pPr>
        <w:pStyle w:val="ListParagraph"/>
        <w:numPr>
          <w:ilvl w:val="0"/>
          <w:numId w:val="10"/>
        </w:numPr>
        <w:spacing w:after="0"/>
        <w:rPr>
          <w:rFonts w:ascii="Cambria Math" w:hAnsi="Cambria Math"/>
        </w:rPr>
      </w:pPr>
      <w:r>
        <w:rPr>
          <w:rFonts w:ascii="Cambria Math" w:hAnsi="Cambria Math"/>
        </w:rPr>
        <w:t>Dynamic nature of Microtubules:</w:t>
      </w:r>
    </w:p>
    <w:p w:rsidR="00C55FAF" w:rsidRDefault="00C55FAF" w:rsidP="00C55FAF">
      <w:pPr>
        <w:pStyle w:val="ListParagraph"/>
        <w:numPr>
          <w:ilvl w:val="1"/>
          <w:numId w:val="10"/>
        </w:numPr>
        <w:spacing w:after="0"/>
        <w:rPr>
          <w:rFonts w:ascii="Cambria Math" w:hAnsi="Cambria Math"/>
        </w:rPr>
      </w:pPr>
      <w:r>
        <w:rPr>
          <w:rFonts w:ascii="Cambria Math" w:hAnsi="Cambria Math"/>
        </w:rPr>
        <w:t>Non-covalent interactions cause for the MT to break down and rebuilt easily</w:t>
      </w:r>
    </w:p>
    <w:p w:rsidR="00F93713" w:rsidRDefault="00F93713" w:rsidP="00C55FAF">
      <w:pPr>
        <w:pStyle w:val="ListParagraph"/>
        <w:numPr>
          <w:ilvl w:val="1"/>
          <w:numId w:val="10"/>
        </w:numPr>
        <w:spacing w:after="0"/>
        <w:rPr>
          <w:rFonts w:ascii="Cambria Math" w:hAnsi="Cambria Math"/>
        </w:rPr>
      </w:pPr>
      <w:r>
        <w:rPr>
          <w:rFonts w:ascii="Cambria Math" w:hAnsi="Cambria Math"/>
        </w:rPr>
        <w:t>Addition of dimers → + end</w:t>
      </w:r>
    </w:p>
    <w:p w:rsidR="00F93713" w:rsidRDefault="00F93713" w:rsidP="00C55FAF">
      <w:pPr>
        <w:pStyle w:val="ListParagraph"/>
        <w:numPr>
          <w:ilvl w:val="1"/>
          <w:numId w:val="10"/>
        </w:numPr>
        <w:spacing w:after="0"/>
        <w:rPr>
          <w:rFonts w:ascii="Cambria Math" w:hAnsi="Cambria Math"/>
        </w:rPr>
      </w:pPr>
      <w:r>
        <w:rPr>
          <w:rFonts w:ascii="Cambria Math" w:hAnsi="Cambria Math"/>
        </w:rPr>
        <w:t xml:space="preserve">Dissociation of dimers → – end  </w:t>
      </w:r>
    </w:p>
    <w:p w:rsidR="00C55FAF" w:rsidRDefault="00C55FAF" w:rsidP="00C55FAF">
      <w:pPr>
        <w:pStyle w:val="ListParagraph"/>
        <w:numPr>
          <w:ilvl w:val="1"/>
          <w:numId w:val="10"/>
        </w:numPr>
        <w:spacing w:after="0"/>
        <w:rPr>
          <w:rFonts w:ascii="Cambria Math" w:hAnsi="Cambria Math"/>
        </w:rPr>
      </w:pPr>
      <w:r>
        <w:rPr>
          <w:rFonts w:ascii="Cambria Math" w:hAnsi="Cambria Math"/>
        </w:rPr>
        <w:t>∝β-tubulin withGTP  bound to β-tubulin → likely to polymerize</w:t>
      </w:r>
    </w:p>
    <w:p w:rsidR="00C55FAF" w:rsidRDefault="00C55FAF" w:rsidP="00C55FAF">
      <w:pPr>
        <w:pStyle w:val="ListParagraph"/>
        <w:numPr>
          <w:ilvl w:val="1"/>
          <w:numId w:val="10"/>
        </w:numPr>
        <w:spacing w:after="0"/>
        <w:rPr>
          <w:rFonts w:ascii="Cambria Math" w:hAnsi="Cambria Math"/>
        </w:rPr>
      </w:pPr>
      <w:r>
        <w:rPr>
          <w:rFonts w:ascii="Cambria Math" w:hAnsi="Cambria Math"/>
        </w:rPr>
        <w:t>Once polymerized, i GTP is can be hydrolyzed into GDP</w:t>
      </w:r>
    </w:p>
    <w:p w:rsidR="00C55FAF" w:rsidRDefault="00C55FAF" w:rsidP="00C55FAF">
      <w:pPr>
        <w:pStyle w:val="ListParagraph"/>
        <w:numPr>
          <w:ilvl w:val="2"/>
          <w:numId w:val="10"/>
        </w:numPr>
        <w:spacing w:after="0"/>
        <w:rPr>
          <w:rFonts w:ascii="Cambria Math" w:hAnsi="Cambria Math"/>
        </w:rPr>
      </w:pPr>
      <w:r>
        <w:rPr>
          <w:rFonts w:ascii="Cambria Math" w:hAnsi="Cambria Math"/>
        </w:rPr>
        <w:lastRenderedPageBreak/>
        <w:t>As you progress down the MT, there will be a lot more ∝β-tubulin with GDP bound to them</w:t>
      </w:r>
    </w:p>
    <w:p w:rsidR="00C55FAF" w:rsidRDefault="00C55FAF" w:rsidP="00C55FAF">
      <w:pPr>
        <w:pStyle w:val="ListParagraph"/>
        <w:numPr>
          <w:ilvl w:val="1"/>
          <w:numId w:val="10"/>
        </w:numPr>
        <w:spacing w:after="0"/>
        <w:rPr>
          <w:rFonts w:ascii="Cambria Math" w:hAnsi="Cambria Math"/>
        </w:rPr>
      </w:pPr>
      <w:r>
        <w:rPr>
          <w:rFonts w:ascii="Cambria Math" w:hAnsi="Cambria Math"/>
        </w:rPr>
        <w:t>∝β-tubulin withGDP  bound to β-</w:t>
      </w:r>
      <w:r w:rsidRPr="00C55FAF">
        <w:rPr>
          <w:rFonts w:ascii="Cambria Math" w:hAnsi="Cambria Math"/>
        </w:rPr>
        <w:t xml:space="preserve"> </w:t>
      </w:r>
      <w:r>
        <w:rPr>
          <w:rFonts w:ascii="Cambria Math" w:hAnsi="Cambria Math"/>
        </w:rPr>
        <w:t>tubulin → more likely to dissociate</w:t>
      </w:r>
    </w:p>
    <w:p w:rsidR="00F93713" w:rsidRDefault="00F93713" w:rsidP="00C55FAF">
      <w:pPr>
        <w:pStyle w:val="ListParagraph"/>
        <w:numPr>
          <w:ilvl w:val="1"/>
          <w:numId w:val="10"/>
        </w:numPr>
        <w:spacing w:after="0"/>
        <w:rPr>
          <w:rFonts w:ascii="Cambria Math" w:hAnsi="Cambria Math"/>
        </w:rPr>
      </w:pPr>
      <w:r>
        <w:rPr>
          <w:rFonts w:ascii="Cambria Math" w:hAnsi="Cambria Math"/>
        </w:rPr>
        <w:t>Rate of addition on plus end determined whether or not the MT will grow or shrink</w:t>
      </w:r>
    </w:p>
    <w:p w:rsidR="00F93713" w:rsidRDefault="00F93713" w:rsidP="00C55FAF">
      <w:pPr>
        <w:pStyle w:val="ListParagraph"/>
        <w:numPr>
          <w:ilvl w:val="1"/>
          <w:numId w:val="10"/>
        </w:numPr>
        <w:spacing w:after="0"/>
        <w:rPr>
          <w:rFonts w:ascii="Cambria Math" w:hAnsi="Cambria Math"/>
        </w:rPr>
      </w:pPr>
      <w:r w:rsidRPr="00F93713">
        <w:rPr>
          <w:rFonts w:ascii="Cambria Math" w:hAnsi="Cambria Math"/>
          <w:b/>
        </w:rPr>
        <w:t>Treadmilling:</w:t>
      </w:r>
      <w:r>
        <w:rPr>
          <w:rFonts w:ascii="Cambria Math" w:hAnsi="Cambria Math"/>
        </w:rPr>
        <w:t xml:space="preserve"> if the rate of addition and dissociation is the same, then the size of the MT will remain the same but the tubulin will turn over.</w:t>
      </w:r>
    </w:p>
    <w:p w:rsidR="00F93713" w:rsidRDefault="00F93713" w:rsidP="00C55FAF">
      <w:pPr>
        <w:pStyle w:val="ListParagraph"/>
        <w:numPr>
          <w:ilvl w:val="1"/>
          <w:numId w:val="10"/>
        </w:numPr>
        <w:spacing w:after="0"/>
        <w:rPr>
          <w:rFonts w:ascii="Cambria Math" w:hAnsi="Cambria Math"/>
        </w:rPr>
      </w:pPr>
      <w:r w:rsidRPr="00F93713">
        <w:rPr>
          <w:rFonts w:ascii="Cambria Math" w:hAnsi="Cambria Math"/>
          <w:b/>
        </w:rPr>
        <w:t>Dynamic Instability:</w:t>
      </w:r>
      <w:r>
        <w:rPr>
          <w:rFonts w:ascii="Cambria Math" w:hAnsi="Cambria Math"/>
        </w:rPr>
        <w:t xml:space="preserve"> if the rate of addition of tublin is not fast enough, the plus end can become unstable and start to dissociate → shrinkage at the plus end → CATASTROPE</w:t>
      </w:r>
    </w:p>
    <w:p w:rsidR="00F93713" w:rsidRDefault="00F93713" w:rsidP="00C55FAF">
      <w:pPr>
        <w:pStyle w:val="ListParagraph"/>
        <w:numPr>
          <w:ilvl w:val="1"/>
          <w:numId w:val="10"/>
        </w:numPr>
        <w:spacing w:after="0"/>
        <w:rPr>
          <w:rFonts w:ascii="Cambria Math" w:hAnsi="Cambria Math"/>
        </w:rPr>
      </w:pPr>
      <w:r>
        <w:rPr>
          <w:rFonts w:ascii="Cambria Math" w:hAnsi="Cambria Math"/>
        </w:rPr>
        <w:t>Whether it grows or catastrophe depends on  how much GTP Tubulin is available:</w:t>
      </w:r>
    </w:p>
    <w:p w:rsidR="00F93713" w:rsidRDefault="00F93713" w:rsidP="00F93713">
      <w:pPr>
        <w:pStyle w:val="ListParagraph"/>
        <w:numPr>
          <w:ilvl w:val="2"/>
          <w:numId w:val="10"/>
        </w:numPr>
        <w:spacing w:after="0"/>
        <w:rPr>
          <w:rFonts w:ascii="Cambria Math" w:hAnsi="Cambria Math"/>
        </w:rPr>
      </w:pPr>
      <w:r>
        <w:rPr>
          <w:rFonts w:ascii="Cambria Math" w:hAnsi="Cambria Math"/>
        </w:rPr>
        <w:t>Readily available and rapidly added → grows</w:t>
      </w:r>
    </w:p>
    <w:p w:rsidR="00F93713" w:rsidRDefault="00F93713" w:rsidP="00F93713">
      <w:pPr>
        <w:pStyle w:val="ListParagraph"/>
        <w:numPr>
          <w:ilvl w:val="2"/>
          <w:numId w:val="10"/>
        </w:numPr>
        <w:spacing w:after="0"/>
        <w:rPr>
          <w:rFonts w:ascii="Cambria Math" w:hAnsi="Cambria Math"/>
        </w:rPr>
      </w:pPr>
      <w:r>
        <w:rPr>
          <w:rFonts w:ascii="Cambria Math" w:hAnsi="Cambria Math"/>
        </w:rPr>
        <w:t>Not enough GTP tubulin and not adding quickly enough (maybe due to it being stabilized by some sort of protein) → CATASTROPHE</w:t>
      </w:r>
    </w:p>
    <w:p w:rsidR="0025037E" w:rsidRDefault="00515808" w:rsidP="002F16A9">
      <w:pPr>
        <w:pStyle w:val="ListParagraph"/>
        <w:numPr>
          <w:ilvl w:val="0"/>
          <w:numId w:val="10"/>
        </w:numPr>
        <w:spacing w:after="0"/>
        <w:rPr>
          <w:rFonts w:ascii="Cambria Math" w:hAnsi="Cambria Math"/>
        </w:rPr>
      </w:pPr>
      <w:r>
        <w:rPr>
          <w:rFonts w:ascii="Cambria Math" w:hAnsi="Cambria Math"/>
        </w:rPr>
        <w:t>Two types of Microtubules:</w:t>
      </w:r>
    </w:p>
    <w:p w:rsidR="00515808" w:rsidRDefault="00515808" w:rsidP="00515808">
      <w:pPr>
        <w:pStyle w:val="ListParagraph"/>
        <w:numPr>
          <w:ilvl w:val="1"/>
          <w:numId w:val="10"/>
        </w:numPr>
        <w:spacing w:after="0"/>
        <w:rPr>
          <w:rFonts w:ascii="Cambria Math" w:hAnsi="Cambria Math"/>
        </w:rPr>
      </w:pPr>
      <w:r>
        <w:rPr>
          <w:rFonts w:ascii="Cambria Math" w:hAnsi="Cambria Math"/>
        </w:rPr>
        <w:t>Cytoplasmic MT</w:t>
      </w:r>
    </w:p>
    <w:p w:rsidR="00515808" w:rsidRDefault="00515808" w:rsidP="00515808">
      <w:pPr>
        <w:pStyle w:val="ListParagraph"/>
        <w:numPr>
          <w:ilvl w:val="2"/>
          <w:numId w:val="10"/>
        </w:numPr>
        <w:spacing w:after="0"/>
        <w:rPr>
          <w:rFonts w:ascii="Cambria Math" w:hAnsi="Cambria Math"/>
        </w:rPr>
      </w:pPr>
      <w:r>
        <w:rPr>
          <w:rFonts w:ascii="Cambria Math" w:hAnsi="Cambria Math"/>
        </w:rPr>
        <w:t>Very dynamic: Constantly being broken down and built up</w:t>
      </w:r>
    </w:p>
    <w:p w:rsidR="00C55FAF" w:rsidRDefault="00515808" w:rsidP="00C55FAF">
      <w:pPr>
        <w:pStyle w:val="ListParagraph"/>
        <w:numPr>
          <w:ilvl w:val="2"/>
          <w:numId w:val="10"/>
        </w:numPr>
        <w:spacing w:after="0"/>
        <w:rPr>
          <w:rFonts w:ascii="Cambria Math" w:hAnsi="Cambria Math"/>
        </w:rPr>
      </w:pPr>
      <w:r>
        <w:rPr>
          <w:rFonts w:ascii="Cambria Math" w:hAnsi="Cambria Math"/>
        </w:rPr>
        <w:t>Form networks within the cell</w:t>
      </w:r>
    </w:p>
    <w:p w:rsidR="00B10B37" w:rsidRPr="009B236F" w:rsidRDefault="009B236F" w:rsidP="009B236F">
      <w:pPr>
        <w:pStyle w:val="ListParagraph"/>
        <w:numPr>
          <w:ilvl w:val="2"/>
          <w:numId w:val="10"/>
        </w:numPr>
        <w:spacing w:after="0"/>
        <w:rPr>
          <w:rFonts w:ascii="Cambria Math" w:hAnsi="Cambria Math"/>
        </w:rPr>
      </w:pPr>
      <w:r>
        <w:rPr>
          <w:rFonts w:ascii="Cambria Math" w:hAnsi="Cambria Math"/>
        </w:rPr>
        <w:t>i.e. mitotic spindle</w:t>
      </w:r>
    </w:p>
    <w:p w:rsidR="00515808" w:rsidRDefault="00B10B37" w:rsidP="00515808">
      <w:pPr>
        <w:pStyle w:val="ListParagraph"/>
        <w:numPr>
          <w:ilvl w:val="1"/>
          <w:numId w:val="10"/>
        </w:numPr>
        <w:spacing w:after="0"/>
        <w:rPr>
          <w:rFonts w:ascii="Cambria Math" w:hAnsi="Cambria Math"/>
        </w:rPr>
      </w:pPr>
      <w:r>
        <w:rPr>
          <w:rFonts w:ascii="Cambria Math" w:hAnsi="Cambria Math"/>
        </w:rPr>
        <w:t>Axonemal MT</w:t>
      </w:r>
    </w:p>
    <w:p w:rsidR="00B10B37" w:rsidRDefault="00B10B37" w:rsidP="00B10B37">
      <w:pPr>
        <w:pStyle w:val="ListParagraph"/>
        <w:numPr>
          <w:ilvl w:val="2"/>
          <w:numId w:val="10"/>
        </w:numPr>
        <w:spacing w:after="0"/>
        <w:rPr>
          <w:rFonts w:ascii="Cambria Math" w:hAnsi="Cambria Math"/>
        </w:rPr>
      </w:pPr>
      <w:r>
        <w:rPr>
          <w:rFonts w:ascii="Cambria Math" w:hAnsi="Cambria Math"/>
        </w:rPr>
        <w:t>In Cilia and Flagella</w:t>
      </w:r>
    </w:p>
    <w:p w:rsidR="00B10B37" w:rsidRPr="009B236F" w:rsidRDefault="00B10B37" w:rsidP="009B236F">
      <w:pPr>
        <w:pStyle w:val="ListParagraph"/>
        <w:numPr>
          <w:ilvl w:val="2"/>
          <w:numId w:val="10"/>
        </w:numPr>
        <w:spacing w:after="0"/>
        <w:rPr>
          <w:rFonts w:ascii="Cambria Math" w:hAnsi="Cambria Math"/>
        </w:rPr>
      </w:pPr>
      <w:r>
        <w:rPr>
          <w:rFonts w:ascii="Cambria Math" w:hAnsi="Cambria Math"/>
        </w:rPr>
        <w:t>Very stable: MT arrays form and stay.</w:t>
      </w:r>
    </w:p>
    <w:p w:rsidR="00327C16" w:rsidRDefault="0025037E" w:rsidP="002F16A9">
      <w:pPr>
        <w:pStyle w:val="ListParagraph"/>
        <w:numPr>
          <w:ilvl w:val="0"/>
          <w:numId w:val="10"/>
        </w:numPr>
        <w:spacing w:after="0"/>
        <w:rPr>
          <w:rFonts w:ascii="Cambria Math" w:hAnsi="Cambria Math"/>
        </w:rPr>
      </w:pPr>
      <w:r>
        <w:rPr>
          <w:rFonts w:ascii="Cambria Math" w:hAnsi="Cambria Math"/>
        </w:rPr>
        <w:t>Useful Drugs</w:t>
      </w:r>
    </w:p>
    <w:p w:rsidR="0025037E" w:rsidRDefault="0025037E" w:rsidP="0025037E">
      <w:pPr>
        <w:pStyle w:val="ListParagraph"/>
        <w:numPr>
          <w:ilvl w:val="1"/>
          <w:numId w:val="10"/>
        </w:numPr>
        <w:spacing w:after="0"/>
        <w:rPr>
          <w:rFonts w:ascii="Cambria Math" w:hAnsi="Cambria Math"/>
        </w:rPr>
      </w:pPr>
      <w:r>
        <w:rPr>
          <w:rFonts w:ascii="Cambria Math" w:hAnsi="Cambria Math"/>
        </w:rPr>
        <w:t>Colchesine: prevents polymerization</w:t>
      </w:r>
      <w:r w:rsidR="009B236F">
        <w:rPr>
          <w:rFonts w:ascii="Cambria Math" w:hAnsi="Cambria Math"/>
        </w:rPr>
        <w:t xml:space="preserve"> by preventing tubulin from adding to a</w:t>
      </w:r>
      <w:r>
        <w:rPr>
          <w:rFonts w:ascii="Cambria Math" w:hAnsi="Cambria Math"/>
        </w:rPr>
        <w:t xml:space="preserve"> MT</w:t>
      </w:r>
      <w:r w:rsidR="009B236F">
        <w:rPr>
          <w:rFonts w:ascii="Cambria Math" w:hAnsi="Cambria Math"/>
        </w:rPr>
        <w:t xml:space="preserve"> →MT</w:t>
      </w:r>
      <w:r>
        <w:rPr>
          <w:rFonts w:ascii="Cambria Math" w:hAnsi="Cambria Math"/>
        </w:rPr>
        <w:t xml:space="preserve"> break</w:t>
      </w:r>
      <w:r w:rsidR="009B236F">
        <w:rPr>
          <w:rFonts w:ascii="Cambria Math" w:hAnsi="Cambria Math"/>
        </w:rPr>
        <w:t>s</w:t>
      </w:r>
      <w:r>
        <w:rPr>
          <w:rFonts w:ascii="Cambria Math" w:hAnsi="Cambria Math"/>
        </w:rPr>
        <w:t xml:space="preserve"> down.</w:t>
      </w:r>
      <w:r w:rsidR="009B236F">
        <w:rPr>
          <w:rFonts w:ascii="Cambria Math" w:hAnsi="Cambria Math"/>
        </w:rPr>
        <w:t xml:space="preserve"> (like cytochalisin only in MT)</w:t>
      </w:r>
    </w:p>
    <w:p w:rsidR="0025037E" w:rsidRDefault="0025037E" w:rsidP="0025037E">
      <w:pPr>
        <w:pStyle w:val="ListParagraph"/>
        <w:numPr>
          <w:ilvl w:val="1"/>
          <w:numId w:val="10"/>
        </w:numPr>
        <w:spacing w:after="0"/>
        <w:rPr>
          <w:rFonts w:ascii="Cambria Math" w:hAnsi="Cambria Math"/>
        </w:rPr>
      </w:pPr>
      <w:r>
        <w:rPr>
          <w:rFonts w:ascii="Cambria Math" w:hAnsi="Cambria Math"/>
        </w:rPr>
        <w:t>Taxol: Stabalizes MT. Neither grow nor shrink</w:t>
      </w:r>
      <w:r w:rsidR="009B236F">
        <w:rPr>
          <w:rFonts w:ascii="Cambria Math" w:hAnsi="Cambria Math"/>
        </w:rPr>
        <w:t xml:space="preserve"> ( like phalloidin)</w:t>
      </w:r>
    </w:p>
    <w:p w:rsidR="0062354E" w:rsidRDefault="0062354E" w:rsidP="0062354E">
      <w:pPr>
        <w:pStyle w:val="ListParagraph"/>
        <w:numPr>
          <w:ilvl w:val="0"/>
          <w:numId w:val="10"/>
        </w:numPr>
        <w:spacing w:after="0"/>
        <w:rPr>
          <w:rFonts w:ascii="Cambria Math" w:hAnsi="Cambria Math"/>
        </w:rPr>
      </w:pPr>
      <w:r>
        <w:rPr>
          <w:rFonts w:ascii="Cambria Math" w:hAnsi="Cambria Math"/>
        </w:rPr>
        <w:t>Other Proeins:</w:t>
      </w:r>
    </w:p>
    <w:p w:rsidR="0062354E" w:rsidRDefault="0062354E" w:rsidP="0062354E">
      <w:pPr>
        <w:pStyle w:val="ListParagraph"/>
        <w:numPr>
          <w:ilvl w:val="1"/>
          <w:numId w:val="10"/>
        </w:numPr>
        <w:spacing w:after="0"/>
        <w:rPr>
          <w:rFonts w:ascii="Cambria Math" w:hAnsi="Cambria Math"/>
        </w:rPr>
      </w:pPr>
      <w:r>
        <w:rPr>
          <w:rFonts w:ascii="Cambria Math" w:hAnsi="Cambria Math"/>
        </w:rPr>
        <w:t>Cell can use these to stabilize MTs, regulate growth, move MTs around the cell, control rate at which they break down.</w:t>
      </w:r>
    </w:p>
    <w:p w:rsidR="0062354E" w:rsidRDefault="0062354E" w:rsidP="0062354E">
      <w:pPr>
        <w:pStyle w:val="ListParagraph"/>
        <w:numPr>
          <w:ilvl w:val="1"/>
          <w:numId w:val="10"/>
        </w:numPr>
        <w:spacing w:after="0"/>
        <w:rPr>
          <w:rFonts w:ascii="Cambria Math" w:hAnsi="Cambria Math"/>
        </w:rPr>
      </w:pPr>
      <w:r>
        <w:rPr>
          <w:rFonts w:ascii="Cambria Math" w:hAnsi="Cambria Math"/>
        </w:rPr>
        <w:t xml:space="preserve">Are responsive to </w:t>
      </w:r>
      <w:r w:rsidR="0087323E">
        <w:rPr>
          <w:rFonts w:ascii="Cambria Math" w:hAnsi="Cambria Math"/>
        </w:rPr>
        <w:t>signalling mechanism in cell allowing cell to respond with MT to the various needs it has.</w:t>
      </w:r>
    </w:p>
    <w:p w:rsidR="0062354E" w:rsidRDefault="0062354E" w:rsidP="0062354E">
      <w:pPr>
        <w:pStyle w:val="ListParagraph"/>
        <w:numPr>
          <w:ilvl w:val="0"/>
          <w:numId w:val="10"/>
        </w:numPr>
        <w:spacing w:after="0"/>
        <w:rPr>
          <w:rFonts w:ascii="Cambria Math" w:hAnsi="Cambria Math"/>
        </w:rPr>
      </w:pPr>
      <w:r>
        <w:rPr>
          <w:rFonts w:ascii="Cambria Math" w:hAnsi="Cambria Math"/>
        </w:rPr>
        <w:t>Microtubule-Organizing Centres (MOTC)</w:t>
      </w:r>
    </w:p>
    <w:p w:rsidR="0062354E" w:rsidRDefault="0087323E" w:rsidP="0062354E">
      <w:pPr>
        <w:pStyle w:val="ListParagraph"/>
        <w:numPr>
          <w:ilvl w:val="1"/>
          <w:numId w:val="10"/>
        </w:numPr>
        <w:spacing w:after="0"/>
        <w:rPr>
          <w:rFonts w:ascii="Cambria Math" w:hAnsi="Cambria Math"/>
        </w:rPr>
      </w:pPr>
      <w:r>
        <w:rPr>
          <w:rFonts w:ascii="Cambria Math" w:hAnsi="Cambria Math"/>
        </w:rPr>
        <w:t>Relatively difficult for MT started growing</w:t>
      </w:r>
    </w:p>
    <w:p w:rsidR="0087323E" w:rsidRDefault="0087323E" w:rsidP="0062354E">
      <w:pPr>
        <w:pStyle w:val="ListParagraph"/>
        <w:numPr>
          <w:ilvl w:val="1"/>
          <w:numId w:val="10"/>
        </w:numPr>
        <w:spacing w:after="0"/>
        <w:rPr>
          <w:rFonts w:ascii="Cambria Math" w:hAnsi="Cambria Math"/>
        </w:rPr>
      </w:pPr>
      <w:r>
        <w:rPr>
          <w:rFonts w:ascii="Cambria Math" w:hAnsi="Cambria Math"/>
        </w:rPr>
        <w:t>Slow to nucleate but once a template is placed, MTs can grow rapidly</w:t>
      </w:r>
    </w:p>
    <w:p w:rsidR="0087323E" w:rsidRDefault="0087323E" w:rsidP="0062354E">
      <w:pPr>
        <w:pStyle w:val="ListParagraph"/>
        <w:numPr>
          <w:ilvl w:val="1"/>
          <w:numId w:val="10"/>
        </w:numPr>
        <w:spacing w:after="0"/>
        <w:rPr>
          <w:rFonts w:ascii="Cambria Math" w:hAnsi="Cambria Math"/>
        </w:rPr>
      </w:pPr>
      <w:r>
        <w:rPr>
          <w:rFonts w:ascii="Cambria Math" w:hAnsi="Cambria Math"/>
        </w:rPr>
        <w:t>MTOC overcome this difficulty. Speed up nucleation of MTs and organize/anchor them in a particular pattern in the cell.</w:t>
      </w:r>
    </w:p>
    <w:p w:rsidR="0087323E" w:rsidRDefault="0087323E" w:rsidP="0087323E">
      <w:pPr>
        <w:pStyle w:val="ListParagraph"/>
        <w:numPr>
          <w:ilvl w:val="2"/>
          <w:numId w:val="10"/>
        </w:numPr>
        <w:spacing w:after="0"/>
        <w:rPr>
          <w:rFonts w:ascii="Cambria Math" w:hAnsi="Cambria Math"/>
        </w:rPr>
      </w:pPr>
      <w:r>
        <w:rPr>
          <w:rFonts w:ascii="Cambria Math" w:hAnsi="Cambria Math"/>
        </w:rPr>
        <w:t>i.e. centrosome; 2 centrioles perpendicular to each other  and gather pericentriolar material. Together function as site to nucleate the MTs using γ-tubulin</w:t>
      </w:r>
    </w:p>
    <w:p w:rsidR="0087323E" w:rsidRDefault="0087323E" w:rsidP="0087323E">
      <w:pPr>
        <w:pStyle w:val="ListParagraph"/>
        <w:numPr>
          <w:ilvl w:val="3"/>
          <w:numId w:val="10"/>
        </w:numPr>
        <w:spacing w:after="0"/>
        <w:rPr>
          <w:rFonts w:ascii="Cambria Math" w:hAnsi="Cambria Math"/>
        </w:rPr>
      </w:pPr>
      <w:r>
        <w:rPr>
          <w:rFonts w:ascii="Cambria Math" w:hAnsi="Cambria Math"/>
        </w:rPr>
        <w:t>γ-tubulin formed into a template, on which MTs can grow.</w:t>
      </w:r>
    </w:p>
    <w:p w:rsidR="0087323E" w:rsidRDefault="0087323E" w:rsidP="0087323E">
      <w:pPr>
        <w:pStyle w:val="ListParagraph"/>
        <w:numPr>
          <w:ilvl w:val="3"/>
          <w:numId w:val="10"/>
        </w:numPr>
        <w:spacing w:after="0"/>
        <w:rPr>
          <w:rFonts w:ascii="Cambria Math" w:hAnsi="Cambria Math"/>
        </w:rPr>
      </w:pPr>
      <w:r>
        <w:rPr>
          <w:rFonts w:ascii="Cambria Math" w:hAnsi="Cambria Math"/>
        </w:rPr>
        <w:t>Binds α</w:t>
      </w:r>
      <w:r w:rsidR="00EF7459">
        <w:rPr>
          <w:rFonts w:ascii="Cambria Math" w:hAnsi="Cambria Math"/>
        </w:rPr>
        <w:t>-</w:t>
      </w:r>
      <w:r>
        <w:rPr>
          <w:rFonts w:ascii="Cambria Math" w:hAnsi="Cambria Math"/>
        </w:rPr>
        <w:t>tubulin and sets</w:t>
      </w:r>
      <w:r w:rsidR="00EF7459">
        <w:rPr>
          <w:rFonts w:ascii="Cambria Math" w:hAnsi="Cambria Math"/>
        </w:rPr>
        <w:t xml:space="preserve"> up </w:t>
      </w:r>
      <w:r>
        <w:rPr>
          <w:rFonts w:ascii="Cambria Math" w:hAnsi="Cambria Math"/>
        </w:rPr>
        <w:t xml:space="preserve"> polarity</w:t>
      </w:r>
      <w:r w:rsidR="00EF7459">
        <w:rPr>
          <w:rFonts w:ascii="Cambria Math" w:hAnsi="Cambria Math"/>
        </w:rPr>
        <w:t xml:space="preserve"> of MT</w:t>
      </w:r>
      <w:r>
        <w:rPr>
          <w:rFonts w:ascii="Cambria Math" w:hAnsi="Cambria Math"/>
        </w:rPr>
        <w:t xml:space="preserve"> by binding to the minus end of the  MT and then MT will grow in the + end</w:t>
      </w:r>
    </w:p>
    <w:p w:rsidR="00EF7459" w:rsidRDefault="00EF7459" w:rsidP="00EF7459">
      <w:pPr>
        <w:pStyle w:val="ListParagraph"/>
        <w:numPr>
          <w:ilvl w:val="1"/>
          <w:numId w:val="10"/>
        </w:numPr>
        <w:spacing w:after="0"/>
        <w:rPr>
          <w:rFonts w:ascii="Cambria Math" w:hAnsi="Cambria Math"/>
        </w:rPr>
      </w:pPr>
      <w:r>
        <w:rPr>
          <w:rFonts w:ascii="Cambria Math" w:hAnsi="Cambria Math"/>
        </w:rPr>
        <w:t xml:space="preserve">Organizes the array of MTs formed </w:t>
      </w:r>
    </w:p>
    <w:p w:rsidR="00EF7459" w:rsidRDefault="00EF7459" w:rsidP="00EF7459">
      <w:pPr>
        <w:pStyle w:val="ListParagraph"/>
        <w:numPr>
          <w:ilvl w:val="1"/>
          <w:numId w:val="10"/>
        </w:numPr>
        <w:spacing w:after="0"/>
        <w:rPr>
          <w:rFonts w:ascii="Cambria Math" w:hAnsi="Cambria Math"/>
        </w:rPr>
      </w:pPr>
      <w:r>
        <w:rPr>
          <w:rFonts w:ascii="Cambria Math" w:hAnsi="Cambria Math"/>
        </w:rPr>
        <w:t>Important in organizing the internal environment of the cell.</w:t>
      </w:r>
    </w:p>
    <w:p w:rsidR="003B375B" w:rsidRDefault="003B375B" w:rsidP="003B375B">
      <w:pPr>
        <w:pStyle w:val="ListParagraph"/>
        <w:numPr>
          <w:ilvl w:val="0"/>
          <w:numId w:val="10"/>
        </w:numPr>
        <w:spacing w:after="0"/>
        <w:rPr>
          <w:rFonts w:ascii="Cambria Math" w:hAnsi="Cambria Math"/>
        </w:rPr>
      </w:pPr>
      <w:r>
        <w:rPr>
          <w:rFonts w:ascii="Cambria Math" w:hAnsi="Cambria Math"/>
        </w:rPr>
        <w:lastRenderedPageBreak/>
        <w:t>Cell Division;</w:t>
      </w:r>
    </w:p>
    <w:p w:rsidR="003B375B" w:rsidRDefault="003B375B" w:rsidP="003B375B">
      <w:pPr>
        <w:pStyle w:val="ListParagraph"/>
        <w:numPr>
          <w:ilvl w:val="1"/>
          <w:numId w:val="10"/>
        </w:numPr>
        <w:spacing w:after="0"/>
        <w:rPr>
          <w:rFonts w:ascii="Cambria Math" w:hAnsi="Cambria Math"/>
        </w:rPr>
      </w:pPr>
      <w:r>
        <w:rPr>
          <w:rFonts w:ascii="Cambria Math" w:hAnsi="Cambria Math"/>
        </w:rPr>
        <w:t>Mitotic Spindle = MT array</w:t>
      </w:r>
    </w:p>
    <w:p w:rsidR="007655D6" w:rsidRDefault="003B375B" w:rsidP="003B375B">
      <w:pPr>
        <w:pStyle w:val="ListParagraph"/>
        <w:numPr>
          <w:ilvl w:val="1"/>
          <w:numId w:val="10"/>
        </w:numPr>
        <w:spacing w:after="0"/>
        <w:rPr>
          <w:rFonts w:ascii="Cambria Math" w:hAnsi="Cambria Math"/>
        </w:rPr>
      </w:pPr>
      <w:r>
        <w:rPr>
          <w:rFonts w:ascii="Cambria Math" w:hAnsi="Cambria Math"/>
        </w:rPr>
        <w:t>Centrosome duplicates and t</w:t>
      </w:r>
      <w:r w:rsidR="007655D6">
        <w:rPr>
          <w:rFonts w:ascii="Cambria Math" w:hAnsi="Cambria Math"/>
        </w:rPr>
        <w:t xml:space="preserve">ravels to each end of the cell. The </w:t>
      </w:r>
      <w:r>
        <w:rPr>
          <w:rFonts w:ascii="Cambria Math" w:hAnsi="Cambria Math"/>
        </w:rPr>
        <w:t>Centrosome then forms the Mitotic Spindle that attaches to chromosomes</w:t>
      </w:r>
      <w:r w:rsidR="007655D6">
        <w:rPr>
          <w:rFonts w:ascii="Cambria Math" w:hAnsi="Cambria Math"/>
        </w:rPr>
        <w:t xml:space="preserve"> and divides them by linking to the kinetochore.</w:t>
      </w:r>
    </w:p>
    <w:p w:rsidR="003B375B" w:rsidRDefault="007655D6" w:rsidP="003B375B">
      <w:pPr>
        <w:pStyle w:val="ListParagraph"/>
        <w:numPr>
          <w:ilvl w:val="1"/>
          <w:numId w:val="10"/>
        </w:numPr>
        <w:spacing w:after="0"/>
        <w:rPr>
          <w:rFonts w:ascii="Cambria Math" w:hAnsi="Cambria Math"/>
        </w:rPr>
      </w:pPr>
      <w:r>
        <w:rPr>
          <w:rFonts w:ascii="Cambria Math" w:hAnsi="Cambria Math"/>
        </w:rPr>
        <w:t>Polar MT: involved in separating the two cells by stretching towards the centre of the cell.</w:t>
      </w:r>
    </w:p>
    <w:p w:rsidR="007655D6" w:rsidRDefault="007655D6" w:rsidP="007655D6">
      <w:pPr>
        <w:pStyle w:val="ListParagraph"/>
        <w:numPr>
          <w:ilvl w:val="1"/>
          <w:numId w:val="10"/>
        </w:numPr>
        <w:spacing w:after="0"/>
        <w:rPr>
          <w:rFonts w:ascii="Cambria Math" w:hAnsi="Cambria Math"/>
        </w:rPr>
      </w:pPr>
      <w:r>
        <w:rPr>
          <w:rFonts w:ascii="Cambria Math" w:hAnsi="Cambria Math"/>
        </w:rPr>
        <w:t>MTs link to the kinetochore of the chromosomes allowing them to separate and move towards the centrosome.</w:t>
      </w:r>
    </w:p>
    <w:p w:rsidR="007655D6" w:rsidRDefault="007655D6" w:rsidP="007655D6">
      <w:pPr>
        <w:pStyle w:val="ListParagraph"/>
        <w:numPr>
          <w:ilvl w:val="1"/>
          <w:numId w:val="10"/>
        </w:numPr>
        <w:spacing w:after="0"/>
        <w:rPr>
          <w:rFonts w:ascii="Cambria Math" w:hAnsi="Cambria Math"/>
        </w:rPr>
      </w:pPr>
      <w:r>
        <w:rPr>
          <w:rFonts w:ascii="Cambria Math" w:hAnsi="Cambria Math"/>
        </w:rPr>
        <w:t>Kinetochore = motor protein that walks along the MT while allowing the MT to dissociate from behind. Pull chromosomes towards the ends of the cells.</w:t>
      </w:r>
    </w:p>
    <w:p w:rsidR="007655D6" w:rsidRPr="007655D6" w:rsidRDefault="007655D6" w:rsidP="007655D6">
      <w:pPr>
        <w:pStyle w:val="ListParagraph"/>
        <w:numPr>
          <w:ilvl w:val="1"/>
          <w:numId w:val="10"/>
        </w:numPr>
        <w:spacing w:after="0"/>
        <w:rPr>
          <w:rFonts w:ascii="Cambria Math" w:hAnsi="Cambria Math"/>
        </w:rPr>
      </w:pPr>
      <w:r>
        <w:rPr>
          <w:rFonts w:ascii="Cambria Math" w:hAnsi="Cambria Math"/>
        </w:rPr>
        <w:t xml:space="preserve">Polar MT;s overall in the centre of the cell and motor proteins overlap and push the MTs apart→ MTs slide across each other and start to lengthen </w:t>
      </w:r>
      <w:r w:rsidR="008B1C7C">
        <w:rPr>
          <w:rFonts w:ascii="Cambria Math" w:hAnsi="Cambria Math"/>
        </w:rPr>
        <w:t>the cell and help it to divide→ Microfilaments help pinch of the cell to form 2 daughter cells.</w:t>
      </w:r>
    </w:p>
    <w:p w:rsidR="0025037E" w:rsidRPr="002F16A9" w:rsidRDefault="0025037E" w:rsidP="0025037E">
      <w:pPr>
        <w:pStyle w:val="ListParagraph"/>
        <w:spacing w:after="0"/>
        <w:ind w:left="1440"/>
        <w:rPr>
          <w:rFonts w:ascii="Cambria Math" w:hAnsi="Cambria Math"/>
        </w:rPr>
      </w:pPr>
    </w:p>
    <w:p w:rsidR="00836401" w:rsidRPr="00A9139B" w:rsidRDefault="00836401" w:rsidP="00836401">
      <w:pPr>
        <w:spacing w:after="0"/>
        <w:rPr>
          <w:rFonts w:ascii="Cambria Math" w:hAnsi="Cambria Math"/>
          <w:b/>
        </w:rPr>
      </w:pPr>
      <w:r w:rsidRPr="00A9139B">
        <w:rPr>
          <w:rFonts w:ascii="Cambria Math" w:hAnsi="Cambria Math"/>
          <w:b/>
        </w:rPr>
        <w:t>10. Contrast and Compare three motor proteins</w:t>
      </w:r>
    </w:p>
    <w:tbl>
      <w:tblPr>
        <w:tblStyle w:val="TableGrid"/>
        <w:tblW w:w="11624" w:type="dxa"/>
        <w:tblInd w:w="-1026" w:type="dxa"/>
        <w:tblLook w:val="04A0"/>
      </w:tblPr>
      <w:tblGrid>
        <w:gridCol w:w="3402"/>
        <w:gridCol w:w="3828"/>
        <w:gridCol w:w="4394"/>
      </w:tblGrid>
      <w:tr w:rsidR="00761185" w:rsidTr="00EF7459">
        <w:trPr>
          <w:trHeight w:val="97"/>
        </w:trPr>
        <w:tc>
          <w:tcPr>
            <w:tcW w:w="3402" w:type="dxa"/>
          </w:tcPr>
          <w:p w:rsidR="00761185" w:rsidRDefault="00761185" w:rsidP="00836401">
            <w:p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Kinesin</w:t>
            </w:r>
          </w:p>
        </w:tc>
        <w:tc>
          <w:tcPr>
            <w:tcW w:w="3828" w:type="dxa"/>
          </w:tcPr>
          <w:p w:rsidR="00761185" w:rsidRDefault="00761185" w:rsidP="00836401">
            <w:p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Cytoplasmic Dyenin</w:t>
            </w:r>
          </w:p>
        </w:tc>
        <w:tc>
          <w:tcPr>
            <w:tcW w:w="4394" w:type="dxa"/>
          </w:tcPr>
          <w:p w:rsidR="00761185" w:rsidRDefault="00761185" w:rsidP="00836401">
            <w:p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Myosins</w:t>
            </w:r>
          </w:p>
        </w:tc>
      </w:tr>
      <w:tr w:rsidR="00761185" w:rsidTr="00EF7459">
        <w:tc>
          <w:tcPr>
            <w:tcW w:w="3402" w:type="dxa"/>
          </w:tcPr>
          <w:p w:rsidR="003E255B" w:rsidRDefault="003E255B" w:rsidP="003E255B">
            <w:pPr>
              <w:pStyle w:val="ListParagraph"/>
              <w:numPr>
                <w:ilvl w:val="0"/>
                <w:numId w:val="7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 xml:space="preserve">Moves towards + end </w:t>
            </w:r>
          </w:p>
          <w:p w:rsidR="003E255B" w:rsidRDefault="00EF7459" w:rsidP="003E255B">
            <w:pPr>
              <w:pStyle w:val="ListParagraph"/>
              <w:numPr>
                <w:ilvl w:val="0"/>
                <w:numId w:val="7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Look l</w:t>
            </w:r>
            <w:r w:rsidR="003E255B">
              <w:rPr>
                <w:rFonts w:ascii="Cambria Math" w:hAnsi="Cambria Math"/>
              </w:rPr>
              <w:t>ike myosin</w:t>
            </w:r>
          </w:p>
          <w:p w:rsidR="003E255B" w:rsidRDefault="00EF7459" w:rsidP="003E255B">
            <w:pPr>
              <w:pStyle w:val="ListParagraph"/>
              <w:numPr>
                <w:ilvl w:val="0"/>
                <w:numId w:val="7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 xml:space="preserve">Globular </w:t>
            </w:r>
            <w:r w:rsidR="003E255B">
              <w:rPr>
                <w:rFonts w:ascii="Cambria Math" w:hAnsi="Cambria Math"/>
              </w:rPr>
              <w:t>Motor domain</w:t>
            </w:r>
          </w:p>
          <w:p w:rsidR="00EF7459" w:rsidRDefault="00EF7459" w:rsidP="003E255B">
            <w:pPr>
              <w:pStyle w:val="ListParagraph"/>
              <w:numPr>
                <w:ilvl w:val="0"/>
                <w:numId w:val="7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Longer tail regions that can be used to hold 2 motor proteins so that they can function as a pair and used to tether cargo</w:t>
            </w:r>
          </w:p>
          <w:p w:rsidR="003E255B" w:rsidRDefault="003E255B" w:rsidP="003E255B">
            <w:pPr>
              <w:pStyle w:val="ListParagraph"/>
              <w:numPr>
                <w:ilvl w:val="0"/>
                <w:numId w:val="7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 xml:space="preserve">Move stuff out of the </w:t>
            </w:r>
            <w:r w:rsidR="00A9139B">
              <w:rPr>
                <w:rFonts w:ascii="Cambria Math" w:hAnsi="Cambria Math"/>
              </w:rPr>
              <w:t>MTOC (centre of cell)</w:t>
            </w:r>
          </w:p>
          <w:p w:rsidR="00761185" w:rsidRDefault="003E255B" w:rsidP="003E255B">
            <w:pPr>
              <w:pStyle w:val="ListParagraph"/>
              <w:numPr>
                <w:ilvl w:val="0"/>
                <w:numId w:val="7"/>
              </w:numPr>
              <w:rPr>
                <w:rFonts w:ascii="Cambria Math" w:hAnsi="Cambria Math"/>
              </w:rPr>
            </w:pPr>
            <w:r w:rsidRPr="003E255B">
              <w:rPr>
                <w:rFonts w:ascii="Cambria Math" w:hAnsi="Cambria Math"/>
              </w:rPr>
              <w:t>Walk along MT</w:t>
            </w:r>
          </w:p>
          <w:p w:rsidR="003E255B" w:rsidRPr="003E255B" w:rsidRDefault="003E255B" w:rsidP="003E255B">
            <w:pPr>
              <w:pStyle w:val="ListParagraph"/>
              <w:numPr>
                <w:ilvl w:val="0"/>
                <w:numId w:val="7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i.e. Movement of neurotransmitters to axon.</w:t>
            </w:r>
          </w:p>
        </w:tc>
        <w:tc>
          <w:tcPr>
            <w:tcW w:w="3828" w:type="dxa"/>
          </w:tcPr>
          <w:p w:rsidR="003E255B" w:rsidRDefault="003E255B" w:rsidP="003E255B">
            <w:pPr>
              <w:pStyle w:val="ListParagraph"/>
              <w:numPr>
                <w:ilvl w:val="0"/>
                <w:numId w:val="7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Move towards – end</w:t>
            </w:r>
          </w:p>
          <w:p w:rsidR="003E255B" w:rsidRDefault="003E255B" w:rsidP="003E255B">
            <w:pPr>
              <w:pStyle w:val="ListParagraph"/>
              <w:numPr>
                <w:ilvl w:val="0"/>
                <w:numId w:val="7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Cargo attached to base</w:t>
            </w:r>
          </w:p>
          <w:p w:rsidR="003E255B" w:rsidRDefault="00EF7459" w:rsidP="003E255B">
            <w:pPr>
              <w:pStyle w:val="ListParagraph"/>
              <w:numPr>
                <w:ilvl w:val="0"/>
                <w:numId w:val="7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 xml:space="preserve">Globular </w:t>
            </w:r>
            <w:r w:rsidR="003E255B">
              <w:rPr>
                <w:rFonts w:ascii="Cambria Math" w:hAnsi="Cambria Math"/>
              </w:rPr>
              <w:t>Motor domain</w:t>
            </w:r>
          </w:p>
          <w:p w:rsidR="003E255B" w:rsidRDefault="003E255B" w:rsidP="003E255B">
            <w:pPr>
              <w:pStyle w:val="ListParagraph"/>
              <w:numPr>
                <w:ilvl w:val="0"/>
                <w:numId w:val="7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Bring stuff to the cell</w:t>
            </w:r>
          </w:p>
          <w:p w:rsidR="00761185" w:rsidRDefault="003E255B" w:rsidP="003E255B">
            <w:pPr>
              <w:pStyle w:val="ListParagraph"/>
              <w:numPr>
                <w:ilvl w:val="0"/>
                <w:numId w:val="7"/>
              </w:numPr>
              <w:rPr>
                <w:rFonts w:ascii="Cambria Math" w:hAnsi="Cambria Math"/>
              </w:rPr>
            </w:pPr>
            <w:r w:rsidRPr="003E255B">
              <w:rPr>
                <w:rFonts w:ascii="Cambria Math" w:hAnsi="Cambria Math"/>
              </w:rPr>
              <w:t>Walk along MT</w:t>
            </w:r>
          </w:p>
          <w:p w:rsidR="003E255B" w:rsidRPr="003E255B" w:rsidRDefault="003E255B" w:rsidP="003E255B">
            <w:pPr>
              <w:pStyle w:val="ListParagraph"/>
              <w:numPr>
                <w:ilvl w:val="0"/>
                <w:numId w:val="7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i.e Movement of neurotransmitters from the axon, back to the dendrite.</w:t>
            </w:r>
          </w:p>
        </w:tc>
        <w:tc>
          <w:tcPr>
            <w:tcW w:w="4394" w:type="dxa"/>
          </w:tcPr>
          <w:p w:rsidR="00354243" w:rsidRDefault="00354243" w:rsidP="00354243">
            <w:pPr>
              <w:pStyle w:val="ListParagraph"/>
              <w:numPr>
                <w:ilvl w:val="0"/>
                <w:numId w:val="12"/>
              </w:numPr>
              <w:jc w:val="both"/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Large family of proteins</w:t>
            </w:r>
          </w:p>
          <w:p w:rsidR="00EF7459" w:rsidRDefault="00354243" w:rsidP="00354243">
            <w:pPr>
              <w:pStyle w:val="ListParagraph"/>
              <w:numPr>
                <w:ilvl w:val="0"/>
                <w:numId w:val="12"/>
              </w:numPr>
              <w:jc w:val="both"/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 xml:space="preserve">Structure: </w:t>
            </w:r>
          </w:p>
          <w:p w:rsidR="00354243" w:rsidRDefault="00354243" w:rsidP="00EF7459">
            <w:pPr>
              <w:pStyle w:val="ListParagraph"/>
              <w:numPr>
                <w:ilvl w:val="1"/>
                <w:numId w:val="12"/>
              </w:numPr>
              <w:jc w:val="both"/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globular head domain (motor domain=binds to actin and hydrolyses ATP) + tail (used to tie cargo or multiple myosin molecules)</w:t>
            </w:r>
          </w:p>
          <w:p w:rsidR="00EF7459" w:rsidRDefault="00354243" w:rsidP="00EF7459">
            <w:pPr>
              <w:pStyle w:val="ListParagraph"/>
              <w:numPr>
                <w:ilvl w:val="0"/>
                <w:numId w:val="12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 xml:space="preserve">Smallest possible Myosin combinatiorn: </w:t>
            </w:r>
          </w:p>
          <w:p w:rsidR="00354243" w:rsidRDefault="00354243" w:rsidP="00EF7459">
            <w:pPr>
              <w:pStyle w:val="ListParagraph"/>
              <w:numPr>
                <w:ilvl w:val="1"/>
                <w:numId w:val="12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Dimmers = 2 myosin molecules (one can bind and the other can move)</w:t>
            </w:r>
          </w:p>
          <w:p w:rsidR="00354243" w:rsidRDefault="00354243" w:rsidP="00354243">
            <w:pPr>
              <w:pStyle w:val="ListParagraph"/>
              <w:numPr>
                <w:ilvl w:val="0"/>
                <w:numId w:val="12"/>
              </w:numPr>
              <w:jc w:val="both"/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Moves towards + end</w:t>
            </w:r>
          </w:p>
          <w:p w:rsidR="00390DD6" w:rsidRPr="00354243" w:rsidRDefault="00390DD6" w:rsidP="00354243">
            <w:pPr>
              <w:rPr>
                <w:rFonts w:ascii="Cambria Math" w:hAnsi="Cambria Math"/>
              </w:rPr>
            </w:pPr>
          </w:p>
        </w:tc>
      </w:tr>
    </w:tbl>
    <w:p w:rsidR="00327C16" w:rsidRDefault="00327C16" w:rsidP="00836401">
      <w:pPr>
        <w:spacing w:after="0"/>
        <w:rPr>
          <w:rFonts w:ascii="Cambria Math" w:hAnsi="Cambria Math"/>
        </w:rPr>
      </w:pPr>
    </w:p>
    <w:p w:rsidR="00836401" w:rsidRPr="00A9139B" w:rsidRDefault="00836401" w:rsidP="00836401">
      <w:pPr>
        <w:spacing w:after="0"/>
        <w:rPr>
          <w:rFonts w:ascii="Cambria Math" w:hAnsi="Cambria Math"/>
          <w:b/>
        </w:rPr>
      </w:pPr>
      <w:r w:rsidRPr="00A9139B">
        <w:rPr>
          <w:rFonts w:ascii="Cambria Math" w:hAnsi="Cambria Math"/>
          <w:b/>
        </w:rPr>
        <w:t>11.  Explain how vesicles are moved around the cytoplasm</w:t>
      </w:r>
    </w:p>
    <w:p w:rsidR="00327C16" w:rsidRDefault="00FD7EC7" w:rsidP="00836401">
      <w:pPr>
        <w:spacing w:after="0"/>
        <w:rPr>
          <w:rFonts w:ascii="Cambria Math" w:hAnsi="Cambria Math"/>
        </w:rPr>
      </w:pPr>
      <w:r>
        <w:rPr>
          <w:rFonts w:ascii="Cambria Math" w:hAnsi="Cambria Math"/>
        </w:rPr>
        <w:t>Motility within the cell:</w:t>
      </w:r>
    </w:p>
    <w:p w:rsidR="00FD7EC7" w:rsidRDefault="00FD7EC7" w:rsidP="00FD7EC7">
      <w:pPr>
        <w:pStyle w:val="ListParagraph"/>
        <w:numPr>
          <w:ilvl w:val="0"/>
          <w:numId w:val="14"/>
        </w:numPr>
        <w:spacing w:after="0"/>
        <w:rPr>
          <w:rFonts w:ascii="Cambria Math" w:hAnsi="Cambria Math"/>
        </w:rPr>
      </w:pPr>
      <w:r>
        <w:rPr>
          <w:rFonts w:ascii="Cambria Math" w:hAnsi="Cambria Math"/>
        </w:rPr>
        <w:t>Microfilaments:</w:t>
      </w:r>
    </w:p>
    <w:p w:rsidR="00FD7EC7" w:rsidRDefault="00FD7EC7" w:rsidP="00FD7EC7">
      <w:pPr>
        <w:pStyle w:val="ListParagraph"/>
        <w:numPr>
          <w:ilvl w:val="1"/>
          <w:numId w:val="14"/>
        </w:numPr>
        <w:spacing w:after="0"/>
        <w:rPr>
          <w:rFonts w:ascii="Cambria Math" w:hAnsi="Cambria Math"/>
        </w:rPr>
      </w:pPr>
      <w:r>
        <w:rPr>
          <w:rFonts w:ascii="Cambria Math" w:hAnsi="Cambria Math"/>
        </w:rPr>
        <w:t>Microfilaments act as a track to move molecules or organelles (like vesicels) around the cell</w:t>
      </w:r>
    </w:p>
    <w:p w:rsidR="00FD7EC7" w:rsidRDefault="00FD7EC7" w:rsidP="00FD7EC7">
      <w:pPr>
        <w:pStyle w:val="ListParagraph"/>
        <w:numPr>
          <w:ilvl w:val="1"/>
          <w:numId w:val="14"/>
        </w:numPr>
        <w:spacing w:after="0"/>
        <w:rPr>
          <w:rFonts w:ascii="Cambria Math" w:hAnsi="Cambria Math"/>
        </w:rPr>
      </w:pPr>
      <w:r>
        <w:rPr>
          <w:rFonts w:ascii="Cambria Math" w:hAnsi="Cambria Math"/>
        </w:rPr>
        <w:t>Requires motor proteins</w:t>
      </w:r>
    </w:p>
    <w:p w:rsidR="00FD7EC7" w:rsidRDefault="00FD7EC7" w:rsidP="00FD7EC7">
      <w:pPr>
        <w:pStyle w:val="ListParagraph"/>
        <w:numPr>
          <w:ilvl w:val="2"/>
          <w:numId w:val="14"/>
        </w:numPr>
        <w:spacing w:after="0"/>
        <w:rPr>
          <w:rFonts w:ascii="Cambria Math" w:hAnsi="Cambria Math"/>
        </w:rPr>
      </w:pPr>
      <w:r>
        <w:rPr>
          <w:rFonts w:ascii="Cambria Math" w:hAnsi="Cambria Math"/>
        </w:rPr>
        <w:t>Unconventional Myosin (Myosin I )</w:t>
      </w:r>
    </w:p>
    <w:p w:rsidR="00FD7EC7" w:rsidRDefault="00FD7EC7" w:rsidP="00FD7EC7">
      <w:pPr>
        <w:pStyle w:val="ListParagraph"/>
        <w:numPr>
          <w:ilvl w:val="2"/>
          <w:numId w:val="14"/>
        </w:numPr>
        <w:spacing w:after="0"/>
        <w:rPr>
          <w:rFonts w:ascii="Cambria Math" w:hAnsi="Cambria Math"/>
        </w:rPr>
      </w:pPr>
      <w:r>
        <w:rPr>
          <w:rFonts w:ascii="Cambria Math" w:hAnsi="Cambria Math"/>
        </w:rPr>
        <w:t>Globular head functions as a motor domain</w:t>
      </w:r>
    </w:p>
    <w:p w:rsidR="00FD7EC7" w:rsidRDefault="00FD7EC7" w:rsidP="00FD7EC7">
      <w:pPr>
        <w:pStyle w:val="ListParagraph"/>
        <w:numPr>
          <w:ilvl w:val="2"/>
          <w:numId w:val="14"/>
        </w:numPr>
        <w:spacing w:after="0"/>
        <w:rPr>
          <w:rFonts w:ascii="Cambria Math" w:hAnsi="Cambria Math"/>
        </w:rPr>
      </w:pPr>
      <w:r>
        <w:rPr>
          <w:rFonts w:ascii="Cambria Math" w:hAnsi="Cambria Math"/>
        </w:rPr>
        <w:t xml:space="preserve">Tails </w:t>
      </w:r>
      <w:r w:rsidR="00515808">
        <w:rPr>
          <w:rFonts w:ascii="Cambria Math" w:hAnsi="Cambria Math"/>
        </w:rPr>
        <w:t xml:space="preserve">used to </w:t>
      </w:r>
      <w:r>
        <w:rPr>
          <w:rFonts w:ascii="Cambria Math" w:hAnsi="Cambria Math"/>
        </w:rPr>
        <w:t>attach to the cargo (i.e. organelle/molecule)</w:t>
      </w:r>
      <w:r w:rsidR="00515808">
        <w:rPr>
          <w:rFonts w:ascii="Cambria Math" w:hAnsi="Cambria Math"/>
        </w:rPr>
        <w:t xml:space="preserve"> and drag cargo along MF track</w:t>
      </w:r>
    </w:p>
    <w:p w:rsidR="00FD7EC7" w:rsidRDefault="00515808" w:rsidP="00515808">
      <w:pPr>
        <w:pStyle w:val="ListParagraph"/>
        <w:numPr>
          <w:ilvl w:val="1"/>
          <w:numId w:val="14"/>
        </w:numPr>
        <w:spacing w:after="0"/>
        <w:rPr>
          <w:rFonts w:ascii="Cambria Math" w:hAnsi="Cambria Math"/>
        </w:rPr>
      </w:pPr>
      <w:r>
        <w:rPr>
          <w:rFonts w:ascii="Cambria Math" w:hAnsi="Cambria Math"/>
        </w:rPr>
        <w:t>HOWEVER: Main mechanism for movement the cell is Micotubules.</w:t>
      </w:r>
    </w:p>
    <w:p w:rsidR="00EF7459" w:rsidRDefault="00515808" w:rsidP="00EF7459">
      <w:pPr>
        <w:pStyle w:val="ListParagraph"/>
        <w:numPr>
          <w:ilvl w:val="2"/>
          <w:numId w:val="14"/>
        </w:numPr>
        <w:spacing w:after="0"/>
        <w:rPr>
          <w:rFonts w:ascii="Cambria Math" w:hAnsi="Cambria Math"/>
        </w:rPr>
      </w:pPr>
      <w:r>
        <w:rPr>
          <w:rFonts w:ascii="Cambria Math" w:hAnsi="Cambria Math"/>
        </w:rPr>
        <w:t>MF becomes important for placing and transporting molecules/organelles along the periphery of the cell</w:t>
      </w:r>
      <w:r w:rsidR="00EF7459">
        <w:rPr>
          <w:rFonts w:ascii="Cambria Math" w:hAnsi="Cambria Math"/>
        </w:rPr>
        <w:t>.</w:t>
      </w:r>
    </w:p>
    <w:p w:rsidR="00A9139B" w:rsidRPr="00A9139B" w:rsidRDefault="00A9139B" w:rsidP="00A9139B">
      <w:pPr>
        <w:spacing w:after="0"/>
        <w:jc w:val="center"/>
        <w:rPr>
          <w:rFonts w:ascii="Cambria Math" w:hAnsi="Cambria Math"/>
        </w:rPr>
      </w:pPr>
      <w:r w:rsidRPr="00515808">
        <w:rPr>
          <w:rFonts w:ascii="Cambria Math" w:hAnsi="Cambria Math"/>
          <w:noProof/>
          <w:lang w:eastAsia="en-CA"/>
        </w:rPr>
        <w:lastRenderedPageBreak/>
        <w:drawing>
          <wp:inline distT="0" distB="0" distL="0" distR="0">
            <wp:extent cx="3203835" cy="2518348"/>
            <wp:effectExtent l="19050" t="0" r="0" b="0"/>
            <wp:docPr id="15" name="Picture 10" descr="http://www.ncbi.nlm.nih.gov/books/NBK9961/bin/ch11f2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154" name="Picture 2" descr="http://www.ncbi.nlm.nih.gov/books/NBK9961/bin/ch11f29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6031" cy="252007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F7459" w:rsidRDefault="00EF7459" w:rsidP="00EF7459">
      <w:pPr>
        <w:pStyle w:val="ListParagraph"/>
        <w:numPr>
          <w:ilvl w:val="0"/>
          <w:numId w:val="14"/>
        </w:numPr>
        <w:spacing w:after="0"/>
        <w:rPr>
          <w:rFonts w:ascii="Cambria Math" w:hAnsi="Cambria Math"/>
        </w:rPr>
      </w:pPr>
      <w:r>
        <w:rPr>
          <w:rFonts w:ascii="Cambria Math" w:hAnsi="Cambria Math"/>
        </w:rPr>
        <w:t>Microtubules:</w:t>
      </w:r>
    </w:p>
    <w:p w:rsidR="00EF7459" w:rsidRDefault="00EF7459" w:rsidP="00EF7459">
      <w:pPr>
        <w:pStyle w:val="ListParagraph"/>
        <w:numPr>
          <w:ilvl w:val="1"/>
          <w:numId w:val="14"/>
        </w:numPr>
        <w:spacing w:after="0"/>
        <w:rPr>
          <w:rFonts w:ascii="Cambria Math" w:hAnsi="Cambria Math"/>
        </w:rPr>
      </w:pPr>
      <w:r>
        <w:rPr>
          <w:rFonts w:ascii="Cambria Math" w:hAnsi="Cambria Math"/>
        </w:rPr>
        <w:t>Main Function: Movement of objects around the cell</w:t>
      </w:r>
    </w:p>
    <w:p w:rsidR="00EF7459" w:rsidRDefault="00EF7459" w:rsidP="00EF7459">
      <w:pPr>
        <w:pStyle w:val="ListParagraph"/>
        <w:numPr>
          <w:ilvl w:val="1"/>
          <w:numId w:val="14"/>
        </w:numPr>
        <w:spacing w:after="0"/>
        <w:rPr>
          <w:rFonts w:ascii="Cambria Math" w:hAnsi="Cambria Math"/>
        </w:rPr>
      </w:pPr>
      <w:r>
        <w:rPr>
          <w:rFonts w:ascii="Cambria Math" w:hAnsi="Cambria Math"/>
        </w:rPr>
        <w:t>MTOC form a network in the cell that can be used:</w:t>
      </w:r>
    </w:p>
    <w:p w:rsidR="00EF7459" w:rsidRDefault="00EF7459" w:rsidP="00EF7459">
      <w:pPr>
        <w:pStyle w:val="ListParagraph"/>
        <w:numPr>
          <w:ilvl w:val="2"/>
          <w:numId w:val="14"/>
        </w:numPr>
        <w:spacing w:after="0"/>
        <w:rPr>
          <w:rFonts w:ascii="Cambria Math" w:hAnsi="Cambria Math"/>
        </w:rPr>
      </w:pPr>
      <w:r>
        <w:rPr>
          <w:rFonts w:ascii="Cambria Math" w:hAnsi="Cambria Math"/>
        </w:rPr>
        <w:t xml:space="preserve">to organize the placement of organelles in the cell (i.e. golgi complex) </w:t>
      </w:r>
    </w:p>
    <w:p w:rsidR="00EF7459" w:rsidRDefault="00EF7459" w:rsidP="00EF7459">
      <w:pPr>
        <w:pStyle w:val="ListParagraph"/>
        <w:numPr>
          <w:ilvl w:val="2"/>
          <w:numId w:val="14"/>
        </w:numPr>
        <w:spacing w:after="0"/>
        <w:rPr>
          <w:rFonts w:ascii="Cambria Math" w:hAnsi="Cambria Math"/>
        </w:rPr>
      </w:pPr>
      <w:r>
        <w:rPr>
          <w:rFonts w:ascii="Cambria Math" w:hAnsi="Cambria Math"/>
        </w:rPr>
        <w:t>as a track to move molecules around the cell with the use of motor proteins:</w:t>
      </w:r>
    </w:p>
    <w:p w:rsidR="00EF7459" w:rsidRDefault="00EF7459" w:rsidP="00EF7459">
      <w:pPr>
        <w:pStyle w:val="ListParagraph"/>
        <w:numPr>
          <w:ilvl w:val="3"/>
          <w:numId w:val="14"/>
        </w:numPr>
        <w:spacing w:after="0"/>
        <w:rPr>
          <w:rFonts w:ascii="Cambria Math" w:hAnsi="Cambria Math"/>
        </w:rPr>
      </w:pPr>
      <w:r>
        <w:rPr>
          <w:rFonts w:ascii="Cambria Math" w:hAnsi="Cambria Math"/>
        </w:rPr>
        <w:t>Kinesin</w:t>
      </w:r>
      <w:r w:rsidR="00A9139B">
        <w:rPr>
          <w:rFonts w:ascii="Cambria Math" w:hAnsi="Cambria Math"/>
        </w:rPr>
        <w:t xml:space="preserve"> → moves stuff away from the MTOC</w:t>
      </w:r>
    </w:p>
    <w:p w:rsidR="00EF7459" w:rsidRDefault="00EF7459" w:rsidP="00EF7459">
      <w:pPr>
        <w:pStyle w:val="ListParagraph"/>
        <w:numPr>
          <w:ilvl w:val="3"/>
          <w:numId w:val="14"/>
        </w:numPr>
        <w:spacing w:after="0"/>
        <w:rPr>
          <w:rFonts w:ascii="Cambria Math" w:hAnsi="Cambria Math"/>
        </w:rPr>
      </w:pPr>
      <w:r>
        <w:rPr>
          <w:rFonts w:ascii="Cambria Math" w:hAnsi="Cambria Math"/>
        </w:rPr>
        <w:t>Cytoplasmic Dyenin</w:t>
      </w:r>
      <w:r w:rsidR="00A9139B">
        <w:rPr>
          <w:rFonts w:ascii="Cambria Math" w:hAnsi="Cambria Math"/>
        </w:rPr>
        <w:t xml:space="preserve"> → Moves stuff towards the MTOC</w:t>
      </w:r>
    </w:p>
    <w:p w:rsidR="00515808" w:rsidRPr="00A9139B" w:rsidRDefault="00A9139B" w:rsidP="00A9139B">
      <w:pPr>
        <w:spacing w:after="0"/>
        <w:jc w:val="center"/>
        <w:rPr>
          <w:rFonts w:ascii="Cambria Math" w:hAnsi="Cambria Math"/>
        </w:rPr>
      </w:pPr>
      <w:r w:rsidRPr="00A9139B">
        <w:rPr>
          <w:rFonts w:ascii="Cambria Math" w:hAnsi="Cambria Math"/>
          <w:noProof/>
          <w:lang w:eastAsia="en-CA"/>
        </w:rPr>
        <w:drawing>
          <wp:inline distT="0" distB="0" distL="0" distR="0">
            <wp:extent cx="3695700" cy="4110038"/>
            <wp:effectExtent l="19050" t="0" r="0" b="0"/>
            <wp:docPr id="16" name="Picture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885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r="3201" b="66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5700" cy="411003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15808" w:rsidRPr="00FD7EC7" w:rsidRDefault="00515808" w:rsidP="00515808">
      <w:pPr>
        <w:pStyle w:val="ListParagraph"/>
        <w:spacing w:after="0"/>
        <w:ind w:left="2160"/>
        <w:rPr>
          <w:rFonts w:ascii="Cambria Math" w:hAnsi="Cambria Math"/>
        </w:rPr>
      </w:pPr>
    </w:p>
    <w:p w:rsidR="00761185" w:rsidRDefault="00761185" w:rsidP="00836401">
      <w:pPr>
        <w:spacing w:after="0"/>
        <w:rPr>
          <w:rFonts w:ascii="Cambria Math" w:hAnsi="Cambria Math"/>
        </w:rPr>
      </w:pPr>
    </w:p>
    <w:p w:rsidR="00836401" w:rsidRDefault="00836401" w:rsidP="00836401">
      <w:pPr>
        <w:spacing w:after="0"/>
        <w:rPr>
          <w:rFonts w:ascii="Cambria Math" w:hAnsi="Cambria Math"/>
        </w:rPr>
      </w:pPr>
      <w:r>
        <w:rPr>
          <w:rFonts w:ascii="Cambria Math" w:hAnsi="Cambria Math"/>
        </w:rPr>
        <w:t>12. Briefly describe the roles of microfilament-driven and microtubule driven cell motility.</w:t>
      </w:r>
    </w:p>
    <w:tbl>
      <w:tblPr>
        <w:tblStyle w:val="TableGrid"/>
        <w:tblW w:w="0" w:type="auto"/>
        <w:tblLook w:val="04A0"/>
      </w:tblPr>
      <w:tblGrid>
        <w:gridCol w:w="4788"/>
        <w:gridCol w:w="4788"/>
      </w:tblGrid>
      <w:tr w:rsidR="00761185" w:rsidTr="00761185">
        <w:tc>
          <w:tcPr>
            <w:tcW w:w="4788" w:type="dxa"/>
          </w:tcPr>
          <w:p w:rsidR="00761185" w:rsidRDefault="00761185" w:rsidP="00836401">
            <w:p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Microfilament-driven motility</w:t>
            </w:r>
          </w:p>
        </w:tc>
        <w:tc>
          <w:tcPr>
            <w:tcW w:w="4788" w:type="dxa"/>
          </w:tcPr>
          <w:p w:rsidR="00761185" w:rsidRDefault="00761185" w:rsidP="00836401">
            <w:p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Microtubule driven cell motility</w:t>
            </w:r>
          </w:p>
        </w:tc>
      </w:tr>
      <w:tr w:rsidR="00761185" w:rsidTr="00761185">
        <w:tc>
          <w:tcPr>
            <w:tcW w:w="4788" w:type="dxa"/>
          </w:tcPr>
          <w:p w:rsidR="00761185" w:rsidRPr="007533B1" w:rsidRDefault="00530229" w:rsidP="007533B1">
            <w:pPr>
              <w:pStyle w:val="ListParagraph"/>
              <w:numPr>
                <w:ilvl w:val="0"/>
                <w:numId w:val="14"/>
              </w:numPr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Refer to #7.</w:t>
            </w:r>
          </w:p>
        </w:tc>
        <w:tc>
          <w:tcPr>
            <w:tcW w:w="4788" w:type="dxa"/>
          </w:tcPr>
          <w:p w:rsidR="00761185" w:rsidRDefault="00F739E5" w:rsidP="00F739E5">
            <w:pPr>
              <w:pStyle w:val="ListParagraph"/>
              <w:numPr>
                <w:ilvl w:val="0"/>
                <w:numId w:val="14"/>
              </w:numPr>
              <w:tabs>
                <w:tab w:val="left" w:pos="1511"/>
              </w:tabs>
              <w:jc w:val="both"/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Used to move cell and move along the cell</w:t>
            </w:r>
          </w:p>
          <w:p w:rsidR="007533B1" w:rsidRDefault="007533B1" w:rsidP="00F739E5">
            <w:pPr>
              <w:pStyle w:val="ListParagraph"/>
              <w:numPr>
                <w:ilvl w:val="0"/>
                <w:numId w:val="14"/>
              </w:numPr>
              <w:tabs>
                <w:tab w:val="left" w:pos="1511"/>
              </w:tabs>
              <w:jc w:val="both"/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Movement in  both directions:</w:t>
            </w:r>
          </w:p>
          <w:p w:rsidR="007533B1" w:rsidRDefault="007533B1" w:rsidP="007533B1">
            <w:pPr>
              <w:pStyle w:val="ListParagraph"/>
              <w:numPr>
                <w:ilvl w:val="1"/>
                <w:numId w:val="14"/>
              </w:numPr>
              <w:tabs>
                <w:tab w:val="left" w:pos="1511"/>
              </w:tabs>
              <w:jc w:val="both"/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Kinesin = away from MTOC</w:t>
            </w:r>
          </w:p>
          <w:p w:rsidR="007533B1" w:rsidRDefault="007533B1" w:rsidP="007533B1">
            <w:pPr>
              <w:pStyle w:val="ListParagraph"/>
              <w:numPr>
                <w:ilvl w:val="1"/>
                <w:numId w:val="14"/>
              </w:numPr>
              <w:tabs>
                <w:tab w:val="left" w:pos="1511"/>
              </w:tabs>
              <w:jc w:val="both"/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Dyenin = towards MTOC</w:t>
            </w:r>
          </w:p>
          <w:p w:rsidR="007533B1" w:rsidRDefault="007533B1" w:rsidP="007533B1">
            <w:pPr>
              <w:pStyle w:val="ListParagraph"/>
              <w:numPr>
                <w:ilvl w:val="0"/>
                <w:numId w:val="14"/>
              </w:numPr>
              <w:tabs>
                <w:tab w:val="left" w:pos="1511"/>
              </w:tabs>
              <w:jc w:val="both"/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i.e. axon transport</w:t>
            </w:r>
          </w:p>
          <w:p w:rsidR="00530229" w:rsidRPr="00F739E5" w:rsidRDefault="00530229" w:rsidP="007533B1">
            <w:pPr>
              <w:pStyle w:val="ListParagraph"/>
              <w:numPr>
                <w:ilvl w:val="0"/>
                <w:numId w:val="14"/>
              </w:numPr>
              <w:tabs>
                <w:tab w:val="left" w:pos="1511"/>
              </w:tabs>
              <w:jc w:val="both"/>
              <w:rPr>
                <w:rFonts w:ascii="Cambria Math" w:hAnsi="Cambria Math"/>
              </w:rPr>
            </w:pPr>
            <w:r>
              <w:rPr>
                <w:rFonts w:ascii="Cambria Math" w:hAnsi="Cambria Math"/>
              </w:rPr>
              <w:t>Refer to #9 and #10</w:t>
            </w:r>
          </w:p>
        </w:tc>
      </w:tr>
    </w:tbl>
    <w:p w:rsidR="00761185" w:rsidRDefault="00761185" w:rsidP="00836401">
      <w:pPr>
        <w:spacing w:after="0"/>
        <w:rPr>
          <w:rFonts w:ascii="Cambria Math" w:hAnsi="Cambria Math"/>
        </w:rPr>
      </w:pPr>
    </w:p>
    <w:p w:rsidR="00513631" w:rsidRPr="00513631" w:rsidRDefault="00513631" w:rsidP="00836401">
      <w:pPr>
        <w:spacing w:after="0"/>
        <w:rPr>
          <w:rFonts w:ascii="Cambria Math" w:hAnsi="Cambria Math"/>
          <w:lang w:val="fr-CA"/>
        </w:rPr>
      </w:pPr>
      <w:r w:rsidRPr="00513631">
        <w:rPr>
          <w:rFonts w:ascii="Cambria Math" w:hAnsi="Cambria Math"/>
          <w:lang w:val="fr-CA"/>
        </w:rPr>
        <w:t>Microfilament driven movement: Ex. Muscle Cells</w:t>
      </w:r>
    </w:p>
    <w:p w:rsidR="00836401" w:rsidRDefault="00513631" w:rsidP="00513631">
      <w:pPr>
        <w:spacing w:after="0"/>
        <w:jc w:val="center"/>
        <w:rPr>
          <w:rFonts w:ascii="Cambria Math" w:hAnsi="Cambria Math"/>
        </w:rPr>
      </w:pPr>
      <w:r w:rsidRPr="00513631">
        <w:rPr>
          <w:rFonts w:ascii="Cambria Math" w:hAnsi="Cambria Math"/>
          <w:noProof/>
          <w:lang w:eastAsia="en-CA"/>
        </w:rPr>
        <w:drawing>
          <wp:inline distT="0" distB="0" distL="0" distR="0">
            <wp:extent cx="3453020" cy="2994991"/>
            <wp:effectExtent l="19050" t="0" r="0" b="0"/>
            <wp:docPr id="6" name="Object 6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5732056" cy="5082218"/>
                      <a:chOff x="13648" y="1692325"/>
                      <a:chExt cx="5732056" cy="5082218"/>
                    </a:xfrm>
                  </a:grpSpPr>
                  <a:grpSp>
                    <a:nvGrpSpPr>
                      <a:cNvPr id="13" name="Group 12"/>
                      <a:cNvGrpSpPr/>
                    </a:nvGrpSpPr>
                    <a:grpSpPr>
                      <a:xfrm>
                        <a:off x="13648" y="1692325"/>
                        <a:ext cx="5732056" cy="5082218"/>
                        <a:chOff x="13648" y="1692325"/>
                        <a:chExt cx="5732056" cy="5082218"/>
                      </a:xfrm>
                    </a:grpSpPr>
                    <a:pic>
                      <a:nvPicPr>
                        <a:cNvPr id="15" name="Picture 14" descr="C36_F05_pg877.jpg"/>
                        <a:cNvPicPr>
                          <a:picLocks noChangeAspect="1"/>
                        </a:cNvPicPr>
                      </a:nvPicPr>
                      <a:blipFill>
                        <a:blip r:embed="rId18" cstate="print"/>
                        <a:srcRect l="1339" t="54417" r="68212" b="31998"/>
                        <a:stretch>
                          <a:fillRect/>
                        </a:stretch>
                      </a:blipFill>
                      <a:spPr>
                        <a:xfrm>
                          <a:off x="13648" y="4633426"/>
                          <a:ext cx="3414215" cy="1958453"/>
                        </a:xfrm>
                        <a:prstGeom prst="rect">
                          <a:avLst/>
                        </a:prstGeom>
                      </a:spPr>
                    </a:pic>
                    <a:pic>
                      <a:nvPicPr>
                        <a:cNvPr id="16" name="Picture 15" descr="C36_F05_pg877.jpg"/>
                        <a:cNvPicPr>
                          <a:picLocks noChangeAspect="1"/>
                        </a:cNvPicPr>
                      </a:nvPicPr>
                      <a:blipFill>
                        <a:blip r:embed="rId18" cstate="print"/>
                        <a:srcRect l="51628" t="82250" r="21107" b="6295"/>
                        <a:stretch>
                          <a:fillRect/>
                        </a:stretch>
                      </a:blipFill>
                      <a:spPr>
                        <a:xfrm>
                          <a:off x="518615" y="1692325"/>
                          <a:ext cx="3057096" cy="1651379"/>
                        </a:xfrm>
                        <a:prstGeom prst="rect">
                          <a:avLst/>
                        </a:prstGeom>
                      </a:spPr>
                    </a:pic>
                    <a:pic>
                      <a:nvPicPr>
                        <a:cNvPr id="17" name="Picture 16" descr="C36_F05_pg877.jpg"/>
                        <a:cNvPicPr>
                          <a:picLocks noChangeAspect="1"/>
                        </a:cNvPicPr>
                      </a:nvPicPr>
                      <a:blipFill>
                        <a:blip r:embed="rId18" cstate="print"/>
                        <a:srcRect l="8297" t="82250" r="60908" b="6366"/>
                        <a:stretch>
                          <a:fillRect/>
                        </a:stretch>
                      </a:blipFill>
                      <a:spPr>
                        <a:xfrm>
                          <a:off x="2292821" y="3422180"/>
                          <a:ext cx="3452883" cy="1641144"/>
                        </a:xfrm>
                        <a:prstGeom prst="rect">
                          <a:avLst/>
                        </a:prstGeom>
                      </a:spPr>
                    </a:pic>
                    <a:sp>
                      <a:nvSpPr>
                        <a:cNvPr id="23" name="Bent Arrow 22"/>
                        <a:cNvSpPr/>
                      </a:nvSpPr>
                      <a:spPr bwMode="auto">
                        <a:xfrm rot="5400000">
                          <a:off x="3761665" y="2901863"/>
                          <a:ext cx="658504" cy="491320"/>
                        </a:xfrm>
                        <a:prstGeom prst="bentArrow">
                          <a:avLst>
                            <a:gd name="adj1" fmla="val 25000"/>
                            <a:gd name="adj2" fmla="val 25000"/>
                            <a:gd name="adj3" fmla="val 47222"/>
                            <a:gd name="adj4" fmla="val 43750"/>
                          </a:avLst>
                        </a:prstGeom>
                        <a:solidFill>
                          <a:schemeClr val="tx1"/>
                        </a:solidFill>
                        <a:ln w="12700" cap="flat" cmpd="sng" algn="ctr">
                          <a:noFill/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  <a:effectLst/>
                      </a:spPr>
                      <a:txSp>
                        <a:txBody>
                          <a:bodyPr vert="horz" wrap="square" lIns="90487" tIns="44450" rIns="90487" bIns="44450" numCol="1" rtlCol="0" anchor="t" anchorCtr="0" compatLnSpc="1">
                            <a:prstTxWarp prst="textNoShape">
                              <a:avLst/>
                            </a:prstTxWarp>
                          </a:bodyPr>
                          <a:lstStyle>
                            <a:defPPr>
                              <a:defRPr lang="en-GB"/>
                            </a:defPPr>
                            <a:lvl1pPr algn="l" rtl="0" eaLnBrk="0" fontAlgn="base" hangingPunct="0">
                              <a:spcBef>
                                <a:spcPct val="20000"/>
                              </a:spcBef>
                              <a:spcAft>
                                <a:spcPct val="0"/>
                              </a:spcAft>
                              <a:buClr>
                                <a:schemeClr val="tx1"/>
                              </a:buClr>
                              <a:buSzPct val="75000"/>
                              <a:buFont typeface="Monotype Sorts" pitchFamily="2" charset="2"/>
                              <a:buChar char="q"/>
                              <a:defRPr sz="2400" b="1" kern="1200">
                                <a:solidFill>
                                  <a:schemeClr val="tx1"/>
                                </a:solidFill>
                                <a:latin typeface="Arial Narrow" pitchFamily="34" charset="0"/>
                                <a:ea typeface="+mn-ea"/>
                                <a:cs typeface="+mn-cs"/>
                              </a:defRPr>
                            </a:lvl1pPr>
                            <a:lvl2pPr marL="457200" algn="l" rtl="0" eaLnBrk="0" fontAlgn="base" hangingPunct="0">
                              <a:spcBef>
                                <a:spcPct val="20000"/>
                              </a:spcBef>
                              <a:spcAft>
                                <a:spcPct val="0"/>
                              </a:spcAft>
                              <a:buClr>
                                <a:schemeClr val="tx1"/>
                              </a:buClr>
                              <a:buSzPct val="75000"/>
                              <a:buFont typeface="Monotype Sorts" pitchFamily="2" charset="2"/>
                              <a:buChar char="q"/>
                              <a:defRPr sz="2400" b="1" kern="1200">
                                <a:solidFill>
                                  <a:schemeClr val="tx1"/>
                                </a:solidFill>
                                <a:latin typeface="Arial Narrow" pitchFamily="34" charset="0"/>
                                <a:ea typeface="+mn-ea"/>
                                <a:cs typeface="+mn-cs"/>
                              </a:defRPr>
                            </a:lvl2pPr>
                            <a:lvl3pPr marL="914400" algn="l" rtl="0" eaLnBrk="0" fontAlgn="base" hangingPunct="0">
                              <a:spcBef>
                                <a:spcPct val="20000"/>
                              </a:spcBef>
                              <a:spcAft>
                                <a:spcPct val="0"/>
                              </a:spcAft>
                              <a:buClr>
                                <a:schemeClr val="tx1"/>
                              </a:buClr>
                              <a:buSzPct val="75000"/>
                              <a:buFont typeface="Monotype Sorts" pitchFamily="2" charset="2"/>
                              <a:buChar char="q"/>
                              <a:defRPr sz="2400" b="1" kern="1200">
                                <a:solidFill>
                                  <a:schemeClr val="tx1"/>
                                </a:solidFill>
                                <a:latin typeface="Arial Narrow" pitchFamily="34" charset="0"/>
                                <a:ea typeface="+mn-ea"/>
                                <a:cs typeface="+mn-cs"/>
                              </a:defRPr>
                            </a:lvl3pPr>
                            <a:lvl4pPr marL="1371600" algn="l" rtl="0" eaLnBrk="0" fontAlgn="base" hangingPunct="0">
                              <a:spcBef>
                                <a:spcPct val="20000"/>
                              </a:spcBef>
                              <a:spcAft>
                                <a:spcPct val="0"/>
                              </a:spcAft>
                              <a:buClr>
                                <a:schemeClr val="tx1"/>
                              </a:buClr>
                              <a:buSzPct val="75000"/>
                              <a:buFont typeface="Monotype Sorts" pitchFamily="2" charset="2"/>
                              <a:buChar char="q"/>
                              <a:defRPr sz="2400" b="1" kern="1200">
                                <a:solidFill>
                                  <a:schemeClr val="tx1"/>
                                </a:solidFill>
                                <a:latin typeface="Arial Narrow" pitchFamily="34" charset="0"/>
                                <a:ea typeface="+mn-ea"/>
                                <a:cs typeface="+mn-cs"/>
                              </a:defRPr>
                            </a:lvl4pPr>
                            <a:lvl5pPr marL="1828800" algn="l" rtl="0" eaLnBrk="0" fontAlgn="base" hangingPunct="0">
                              <a:spcBef>
                                <a:spcPct val="20000"/>
                              </a:spcBef>
                              <a:spcAft>
                                <a:spcPct val="0"/>
                              </a:spcAft>
                              <a:buClr>
                                <a:schemeClr val="tx1"/>
                              </a:buClr>
                              <a:buSzPct val="75000"/>
                              <a:buFont typeface="Monotype Sorts" pitchFamily="2" charset="2"/>
                              <a:buChar char="q"/>
                              <a:defRPr sz="2400" b="1" kern="1200">
                                <a:solidFill>
                                  <a:schemeClr val="tx1"/>
                                </a:solidFill>
                                <a:latin typeface="Arial Narrow" pitchFamily="34" charset="0"/>
                                <a:ea typeface="+mn-ea"/>
                                <a:cs typeface="+mn-cs"/>
                              </a:defRPr>
                            </a:lvl5pPr>
                            <a:lvl6pPr marL="2286000" algn="l" defTabSz="914400" rtl="0" eaLnBrk="1" latinLnBrk="0" hangingPunct="1">
                              <a:defRPr sz="2400" b="1" kern="1200">
                                <a:solidFill>
                                  <a:schemeClr val="tx1"/>
                                </a:solidFill>
                                <a:latin typeface="Arial Narrow" pitchFamily="34" charset="0"/>
                                <a:ea typeface="+mn-ea"/>
                                <a:cs typeface="+mn-cs"/>
                              </a:defRPr>
                            </a:lvl6pPr>
                            <a:lvl7pPr marL="2743200" algn="l" defTabSz="914400" rtl="0" eaLnBrk="1" latinLnBrk="0" hangingPunct="1">
                              <a:defRPr sz="2400" b="1" kern="1200">
                                <a:solidFill>
                                  <a:schemeClr val="tx1"/>
                                </a:solidFill>
                                <a:latin typeface="Arial Narrow" pitchFamily="34" charset="0"/>
                                <a:ea typeface="+mn-ea"/>
                                <a:cs typeface="+mn-cs"/>
                              </a:defRPr>
                            </a:lvl7pPr>
                            <a:lvl8pPr marL="3200400" algn="l" defTabSz="914400" rtl="0" eaLnBrk="1" latinLnBrk="0" hangingPunct="1">
                              <a:defRPr sz="2400" b="1" kern="1200">
                                <a:solidFill>
                                  <a:schemeClr val="tx1"/>
                                </a:solidFill>
                                <a:latin typeface="Arial Narrow" pitchFamily="34" charset="0"/>
                                <a:ea typeface="+mn-ea"/>
                                <a:cs typeface="+mn-cs"/>
                              </a:defRPr>
                            </a:lvl8pPr>
                            <a:lvl9pPr marL="3657600" algn="l" defTabSz="914400" rtl="0" eaLnBrk="1" latinLnBrk="0" hangingPunct="1">
                              <a:defRPr sz="2400" b="1" kern="1200">
                                <a:solidFill>
                                  <a:schemeClr val="tx1"/>
                                </a:solidFill>
                                <a:latin typeface="Arial Narrow" pitchFamily="34" charset="0"/>
                                <a:ea typeface="+mn-ea"/>
                                <a:cs typeface="+mn-cs"/>
                              </a:defRPr>
                            </a:lvl9pPr>
                          </a:lstStyle>
                          <a:p>
                            <a:pPr marL="285750" marR="0" indent="-285750" algn="l" defTabSz="914400" rtl="0" eaLnBrk="0" fontAlgn="base" latinLnBrk="0" hangingPunct="0">
                              <a:lnSpc>
                                <a:spcPct val="100000"/>
                              </a:lnSpc>
                              <a:spcBef>
                                <a:spcPct val="20000"/>
                              </a:spcBef>
                              <a:spcAft>
                                <a:spcPct val="0"/>
                              </a:spcAft>
                              <a:buClr>
                                <a:schemeClr val="tx1"/>
                              </a:buClr>
                              <a:buSzPct val="75000"/>
                              <a:buFont typeface="Monotype Sorts" pitchFamily="2" charset="2"/>
                              <a:buChar char="q"/>
                              <a:tabLst/>
                            </a:pPr>
                            <a:endParaRPr kumimoji="0" lang="en-CA" sz="2400" b="1" i="0" u="none" strike="noStrike" cap="none" normalizeH="0" baseline="0" smtClean="0">
                              <a:ln>
                                <a:noFill/>
                              </a:ln>
                              <a:solidFill>
                                <a:schemeClr val="tx1"/>
                              </a:solidFill>
                              <a:effectLst/>
                              <a:latin typeface="Arial Narrow" pitchFamily="34" charset="0"/>
                            </a:endParaRPr>
                          </a:p>
                        </a:txBody>
                        <a:useSpRect/>
                      </a:txSp>
                    </a:sp>
                    <a:sp>
                      <a:nvSpPr>
                        <a:cNvPr id="24" name="Bent Arrow 23"/>
                        <a:cNvSpPr/>
                      </a:nvSpPr>
                      <a:spPr bwMode="auto">
                        <a:xfrm rot="10800000">
                          <a:off x="3661581" y="5165683"/>
                          <a:ext cx="658504" cy="1061686"/>
                        </a:xfrm>
                        <a:prstGeom prst="bentArrow">
                          <a:avLst>
                            <a:gd name="adj1" fmla="val 20855"/>
                            <a:gd name="adj2" fmla="val 20855"/>
                            <a:gd name="adj3" fmla="val 47222"/>
                            <a:gd name="adj4" fmla="val 43750"/>
                          </a:avLst>
                        </a:prstGeom>
                        <a:solidFill>
                          <a:schemeClr val="tx1"/>
                        </a:solidFill>
                        <a:ln w="12700" cap="flat" cmpd="sng" algn="ctr">
                          <a:noFill/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  <a:effectLst/>
                      </a:spPr>
                      <a:txSp>
                        <a:txBody>
                          <a:bodyPr vert="horz" wrap="square" lIns="90487" tIns="44450" rIns="90487" bIns="44450" numCol="1" rtlCol="0" anchor="t" anchorCtr="0" compatLnSpc="1">
                            <a:prstTxWarp prst="textNoShape">
                              <a:avLst/>
                            </a:prstTxWarp>
                          </a:bodyPr>
                          <a:lstStyle>
                            <a:defPPr>
                              <a:defRPr lang="en-GB"/>
                            </a:defPPr>
                            <a:lvl1pPr algn="l" rtl="0" eaLnBrk="0" fontAlgn="base" hangingPunct="0">
                              <a:spcBef>
                                <a:spcPct val="20000"/>
                              </a:spcBef>
                              <a:spcAft>
                                <a:spcPct val="0"/>
                              </a:spcAft>
                              <a:buClr>
                                <a:schemeClr val="tx1"/>
                              </a:buClr>
                              <a:buSzPct val="75000"/>
                              <a:buFont typeface="Monotype Sorts" pitchFamily="2" charset="2"/>
                              <a:buChar char="q"/>
                              <a:defRPr sz="2400" b="1" kern="1200">
                                <a:solidFill>
                                  <a:schemeClr val="tx1"/>
                                </a:solidFill>
                                <a:latin typeface="Arial Narrow" pitchFamily="34" charset="0"/>
                                <a:ea typeface="+mn-ea"/>
                                <a:cs typeface="+mn-cs"/>
                              </a:defRPr>
                            </a:lvl1pPr>
                            <a:lvl2pPr marL="457200" algn="l" rtl="0" eaLnBrk="0" fontAlgn="base" hangingPunct="0">
                              <a:spcBef>
                                <a:spcPct val="20000"/>
                              </a:spcBef>
                              <a:spcAft>
                                <a:spcPct val="0"/>
                              </a:spcAft>
                              <a:buClr>
                                <a:schemeClr val="tx1"/>
                              </a:buClr>
                              <a:buSzPct val="75000"/>
                              <a:buFont typeface="Monotype Sorts" pitchFamily="2" charset="2"/>
                              <a:buChar char="q"/>
                              <a:defRPr sz="2400" b="1" kern="1200">
                                <a:solidFill>
                                  <a:schemeClr val="tx1"/>
                                </a:solidFill>
                                <a:latin typeface="Arial Narrow" pitchFamily="34" charset="0"/>
                                <a:ea typeface="+mn-ea"/>
                                <a:cs typeface="+mn-cs"/>
                              </a:defRPr>
                            </a:lvl2pPr>
                            <a:lvl3pPr marL="914400" algn="l" rtl="0" eaLnBrk="0" fontAlgn="base" hangingPunct="0">
                              <a:spcBef>
                                <a:spcPct val="20000"/>
                              </a:spcBef>
                              <a:spcAft>
                                <a:spcPct val="0"/>
                              </a:spcAft>
                              <a:buClr>
                                <a:schemeClr val="tx1"/>
                              </a:buClr>
                              <a:buSzPct val="75000"/>
                              <a:buFont typeface="Monotype Sorts" pitchFamily="2" charset="2"/>
                              <a:buChar char="q"/>
                              <a:defRPr sz="2400" b="1" kern="1200">
                                <a:solidFill>
                                  <a:schemeClr val="tx1"/>
                                </a:solidFill>
                                <a:latin typeface="Arial Narrow" pitchFamily="34" charset="0"/>
                                <a:ea typeface="+mn-ea"/>
                                <a:cs typeface="+mn-cs"/>
                              </a:defRPr>
                            </a:lvl3pPr>
                            <a:lvl4pPr marL="1371600" algn="l" rtl="0" eaLnBrk="0" fontAlgn="base" hangingPunct="0">
                              <a:spcBef>
                                <a:spcPct val="20000"/>
                              </a:spcBef>
                              <a:spcAft>
                                <a:spcPct val="0"/>
                              </a:spcAft>
                              <a:buClr>
                                <a:schemeClr val="tx1"/>
                              </a:buClr>
                              <a:buSzPct val="75000"/>
                              <a:buFont typeface="Monotype Sorts" pitchFamily="2" charset="2"/>
                              <a:buChar char="q"/>
                              <a:defRPr sz="2400" b="1" kern="1200">
                                <a:solidFill>
                                  <a:schemeClr val="tx1"/>
                                </a:solidFill>
                                <a:latin typeface="Arial Narrow" pitchFamily="34" charset="0"/>
                                <a:ea typeface="+mn-ea"/>
                                <a:cs typeface="+mn-cs"/>
                              </a:defRPr>
                            </a:lvl4pPr>
                            <a:lvl5pPr marL="1828800" algn="l" rtl="0" eaLnBrk="0" fontAlgn="base" hangingPunct="0">
                              <a:spcBef>
                                <a:spcPct val="20000"/>
                              </a:spcBef>
                              <a:spcAft>
                                <a:spcPct val="0"/>
                              </a:spcAft>
                              <a:buClr>
                                <a:schemeClr val="tx1"/>
                              </a:buClr>
                              <a:buSzPct val="75000"/>
                              <a:buFont typeface="Monotype Sorts" pitchFamily="2" charset="2"/>
                              <a:buChar char="q"/>
                              <a:defRPr sz="2400" b="1" kern="1200">
                                <a:solidFill>
                                  <a:schemeClr val="tx1"/>
                                </a:solidFill>
                                <a:latin typeface="Arial Narrow" pitchFamily="34" charset="0"/>
                                <a:ea typeface="+mn-ea"/>
                                <a:cs typeface="+mn-cs"/>
                              </a:defRPr>
                            </a:lvl5pPr>
                            <a:lvl6pPr marL="2286000" algn="l" defTabSz="914400" rtl="0" eaLnBrk="1" latinLnBrk="0" hangingPunct="1">
                              <a:defRPr sz="2400" b="1" kern="1200">
                                <a:solidFill>
                                  <a:schemeClr val="tx1"/>
                                </a:solidFill>
                                <a:latin typeface="Arial Narrow" pitchFamily="34" charset="0"/>
                                <a:ea typeface="+mn-ea"/>
                                <a:cs typeface="+mn-cs"/>
                              </a:defRPr>
                            </a:lvl6pPr>
                            <a:lvl7pPr marL="2743200" algn="l" defTabSz="914400" rtl="0" eaLnBrk="1" latinLnBrk="0" hangingPunct="1">
                              <a:defRPr sz="2400" b="1" kern="1200">
                                <a:solidFill>
                                  <a:schemeClr val="tx1"/>
                                </a:solidFill>
                                <a:latin typeface="Arial Narrow" pitchFamily="34" charset="0"/>
                                <a:ea typeface="+mn-ea"/>
                                <a:cs typeface="+mn-cs"/>
                              </a:defRPr>
                            </a:lvl7pPr>
                            <a:lvl8pPr marL="3200400" algn="l" defTabSz="914400" rtl="0" eaLnBrk="1" latinLnBrk="0" hangingPunct="1">
                              <a:defRPr sz="2400" b="1" kern="1200">
                                <a:solidFill>
                                  <a:schemeClr val="tx1"/>
                                </a:solidFill>
                                <a:latin typeface="Arial Narrow" pitchFamily="34" charset="0"/>
                                <a:ea typeface="+mn-ea"/>
                                <a:cs typeface="+mn-cs"/>
                              </a:defRPr>
                            </a:lvl8pPr>
                            <a:lvl9pPr marL="3657600" algn="l" defTabSz="914400" rtl="0" eaLnBrk="1" latinLnBrk="0" hangingPunct="1">
                              <a:defRPr sz="2400" b="1" kern="1200">
                                <a:solidFill>
                                  <a:schemeClr val="tx1"/>
                                </a:solidFill>
                                <a:latin typeface="Arial Narrow" pitchFamily="34" charset="0"/>
                                <a:ea typeface="+mn-ea"/>
                                <a:cs typeface="+mn-cs"/>
                              </a:defRPr>
                            </a:lvl9pPr>
                          </a:lstStyle>
                          <a:p>
                            <a:pPr marL="285750" marR="0" indent="-285750" algn="l" defTabSz="914400" rtl="0" eaLnBrk="0" fontAlgn="base" latinLnBrk="0" hangingPunct="0">
                              <a:lnSpc>
                                <a:spcPct val="100000"/>
                              </a:lnSpc>
                              <a:spcBef>
                                <a:spcPct val="20000"/>
                              </a:spcBef>
                              <a:spcAft>
                                <a:spcPct val="0"/>
                              </a:spcAft>
                              <a:buClr>
                                <a:schemeClr val="tx1"/>
                              </a:buClr>
                              <a:buSzPct val="75000"/>
                              <a:buFont typeface="Monotype Sorts" pitchFamily="2" charset="2"/>
                              <a:buChar char="q"/>
                              <a:tabLst/>
                            </a:pPr>
                            <a:endParaRPr kumimoji="0" lang="en-CA" sz="2400" b="1" i="0" u="none" strike="noStrike" cap="none" normalizeH="0" baseline="0" smtClean="0">
                              <a:ln>
                                <a:noFill/>
                              </a:ln>
                              <a:solidFill>
                                <a:schemeClr val="tx1"/>
                              </a:solidFill>
                              <a:effectLst/>
                              <a:latin typeface="Arial Narrow" pitchFamily="34" charset="0"/>
                            </a:endParaRPr>
                          </a:p>
                        </a:txBody>
                        <a:useSpRect/>
                      </a:txSp>
                    </a:sp>
                    <a:sp>
                      <a:nvSpPr>
                        <a:cNvPr id="25" name="Down Arrow 24"/>
                        <a:cNvSpPr/>
                      </a:nvSpPr>
                      <a:spPr bwMode="auto">
                        <a:xfrm rot="10800000">
                          <a:off x="777922" y="3439241"/>
                          <a:ext cx="293427" cy="1064525"/>
                        </a:xfrm>
                        <a:prstGeom prst="downArrow">
                          <a:avLst>
                            <a:gd name="adj1" fmla="val 50000"/>
                            <a:gd name="adj2" fmla="val 98837"/>
                          </a:avLst>
                        </a:prstGeom>
                        <a:solidFill>
                          <a:schemeClr val="tx1"/>
                        </a:solidFill>
                        <a:ln w="12700" cap="flat" cmpd="sng" algn="ctr">
                          <a:noFill/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  <a:effectLst/>
                      </a:spPr>
                      <a:txSp>
                        <a:txBody>
                          <a:bodyPr vert="horz" wrap="square" lIns="90487" tIns="44450" rIns="90487" bIns="44450" numCol="1" rtlCol="0" anchor="t" anchorCtr="0" compatLnSpc="1">
                            <a:prstTxWarp prst="textNoShape">
                              <a:avLst/>
                            </a:prstTxWarp>
                          </a:bodyPr>
                          <a:lstStyle>
                            <a:defPPr>
                              <a:defRPr lang="en-GB"/>
                            </a:defPPr>
                            <a:lvl1pPr algn="l" rtl="0" eaLnBrk="0" fontAlgn="base" hangingPunct="0">
                              <a:spcBef>
                                <a:spcPct val="20000"/>
                              </a:spcBef>
                              <a:spcAft>
                                <a:spcPct val="0"/>
                              </a:spcAft>
                              <a:buClr>
                                <a:schemeClr val="tx1"/>
                              </a:buClr>
                              <a:buSzPct val="75000"/>
                              <a:buFont typeface="Monotype Sorts" pitchFamily="2" charset="2"/>
                              <a:buChar char="q"/>
                              <a:defRPr sz="2400" b="1" kern="1200">
                                <a:solidFill>
                                  <a:schemeClr val="tx1"/>
                                </a:solidFill>
                                <a:latin typeface="Arial Narrow" pitchFamily="34" charset="0"/>
                                <a:ea typeface="+mn-ea"/>
                                <a:cs typeface="+mn-cs"/>
                              </a:defRPr>
                            </a:lvl1pPr>
                            <a:lvl2pPr marL="457200" algn="l" rtl="0" eaLnBrk="0" fontAlgn="base" hangingPunct="0">
                              <a:spcBef>
                                <a:spcPct val="20000"/>
                              </a:spcBef>
                              <a:spcAft>
                                <a:spcPct val="0"/>
                              </a:spcAft>
                              <a:buClr>
                                <a:schemeClr val="tx1"/>
                              </a:buClr>
                              <a:buSzPct val="75000"/>
                              <a:buFont typeface="Monotype Sorts" pitchFamily="2" charset="2"/>
                              <a:buChar char="q"/>
                              <a:defRPr sz="2400" b="1" kern="1200">
                                <a:solidFill>
                                  <a:schemeClr val="tx1"/>
                                </a:solidFill>
                                <a:latin typeface="Arial Narrow" pitchFamily="34" charset="0"/>
                                <a:ea typeface="+mn-ea"/>
                                <a:cs typeface="+mn-cs"/>
                              </a:defRPr>
                            </a:lvl2pPr>
                            <a:lvl3pPr marL="914400" algn="l" rtl="0" eaLnBrk="0" fontAlgn="base" hangingPunct="0">
                              <a:spcBef>
                                <a:spcPct val="20000"/>
                              </a:spcBef>
                              <a:spcAft>
                                <a:spcPct val="0"/>
                              </a:spcAft>
                              <a:buClr>
                                <a:schemeClr val="tx1"/>
                              </a:buClr>
                              <a:buSzPct val="75000"/>
                              <a:buFont typeface="Monotype Sorts" pitchFamily="2" charset="2"/>
                              <a:buChar char="q"/>
                              <a:defRPr sz="2400" b="1" kern="1200">
                                <a:solidFill>
                                  <a:schemeClr val="tx1"/>
                                </a:solidFill>
                                <a:latin typeface="Arial Narrow" pitchFamily="34" charset="0"/>
                                <a:ea typeface="+mn-ea"/>
                                <a:cs typeface="+mn-cs"/>
                              </a:defRPr>
                            </a:lvl3pPr>
                            <a:lvl4pPr marL="1371600" algn="l" rtl="0" eaLnBrk="0" fontAlgn="base" hangingPunct="0">
                              <a:spcBef>
                                <a:spcPct val="20000"/>
                              </a:spcBef>
                              <a:spcAft>
                                <a:spcPct val="0"/>
                              </a:spcAft>
                              <a:buClr>
                                <a:schemeClr val="tx1"/>
                              </a:buClr>
                              <a:buSzPct val="75000"/>
                              <a:buFont typeface="Monotype Sorts" pitchFamily="2" charset="2"/>
                              <a:buChar char="q"/>
                              <a:defRPr sz="2400" b="1" kern="1200">
                                <a:solidFill>
                                  <a:schemeClr val="tx1"/>
                                </a:solidFill>
                                <a:latin typeface="Arial Narrow" pitchFamily="34" charset="0"/>
                                <a:ea typeface="+mn-ea"/>
                                <a:cs typeface="+mn-cs"/>
                              </a:defRPr>
                            </a:lvl4pPr>
                            <a:lvl5pPr marL="1828800" algn="l" rtl="0" eaLnBrk="0" fontAlgn="base" hangingPunct="0">
                              <a:spcBef>
                                <a:spcPct val="20000"/>
                              </a:spcBef>
                              <a:spcAft>
                                <a:spcPct val="0"/>
                              </a:spcAft>
                              <a:buClr>
                                <a:schemeClr val="tx1"/>
                              </a:buClr>
                              <a:buSzPct val="75000"/>
                              <a:buFont typeface="Monotype Sorts" pitchFamily="2" charset="2"/>
                              <a:buChar char="q"/>
                              <a:defRPr sz="2400" b="1" kern="1200">
                                <a:solidFill>
                                  <a:schemeClr val="tx1"/>
                                </a:solidFill>
                                <a:latin typeface="Arial Narrow" pitchFamily="34" charset="0"/>
                                <a:ea typeface="+mn-ea"/>
                                <a:cs typeface="+mn-cs"/>
                              </a:defRPr>
                            </a:lvl5pPr>
                            <a:lvl6pPr marL="2286000" algn="l" defTabSz="914400" rtl="0" eaLnBrk="1" latinLnBrk="0" hangingPunct="1">
                              <a:defRPr sz="2400" b="1" kern="1200">
                                <a:solidFill>
                                  <a:schemeClr val="tx1"/>
                                </a:solidFill>
                                <a:latin typeface="Arial Narrow" pitchFamily="34" charset="0"/>
                                <a:ea typeface="+mn-ea"/>
                                <a:cs typeface="+mn-cs"/>
                              </a:defRPr>
                            </a:lvl6pPr>
                            <a:lvl7pPr marL="2743200" algn="l" defTabSz="914400" rtl="0" eaLnBrk="1" latinLnBrk="0" hangingPunct="1">
                              <a:defRPr sz="2400" b="1" kern="1200">
                                <a:solidFill>
                                  <a:schemeClr val="tx1"/>
                                </a:solidFill>
                                <a:latin typeface="Arial Narrow" pitchFamily="34" charset="0"/>
                                <a:ea typeface="+mn-ea"/>
                                <a:cs typeface="+mn-cs"/>
                              </a:defRPr>
                            </a:lvl7pPr>
                            <a:lvl8pPr marL="3200400" algn="l" defTabSz="914400" rtl="0" eaLnBrk="1" latinLnBrk="0" hangingPunct="1">
                              <a:defRPr sz="2400" b="1" kern="1200">
                                <a:solidFill>
                                  <a:schemeClr val="tx1"/>
                                </a:solidFill>
                                <a:latin typeface="Arial Narrow" pitchFamily="34" charset="0"/>
                                <a:ea typeface="+mn-ea"/>
                                <a:cs typeface="+mn-cs"/>
                              </a:defRPr>
                            </a:lvl8pPr>
                            <a:lvl9pPr marL="3657600" algn="l" defTabSz="914400" rtl="0" eaLnBrk="1" latinLnBrk="0" hangingPunct="1">
                              <a:defRPr sz="2400" b="1" kern="1200">
                                <a:solidFill>
                                  <a:schemeClr val="tx1"/>
                                </a:solidFill>
                                <a:latin typeface="Arial Narrow" pitchFamily="34" charset="0"/>
                                <a:ea typeface="+mn-ea"/>
                                <a:cs typeface="+mn-cs"/>
                              </a:defRPr>
                            </a:lvl9pPr>
                          </a:lstStyle>
                          <a:p>
                            <a:pPr marL="285750" marR="0" indent="-285750" algn="l" defTabSz="914400" rtl="0" eaLnBrk="0" fontAlgn="base" latinLnBrk="0" hangingPunct="0">
                              <a:lnSpc>
                                <a:spcPct val="100000"/>
                              </a:lnSpc>
                              <a:spcBef>
                                <a:spcPct val="20000"/>
                              </a:spcBef>
                              <a:spcAft>
                                <a:spcPct val="0"/>
                              </a:spcAft>
                              <a:buClr>
                                <a:schemeClr val="tx1"/>
                              </a:buClr>
                              <a:buSzPct val="75000"/>
                              <a:buFont typeface="Monotype Sorts" pitchFamily="2" charset="2"/>
                              <a:buChar char="q"/>
                              <a:tabLst/>
                            </a:pPr>
                            <a:endParaRPr kumimoji="0" lang="en-CA" sz="2400" b="1" i="0" u="none" strike="noStrike" cap="none" normalizeH="0" baseline="0" smtClean="0">
                              <a:ln>
                                <a:noFill/>
                              </a:ln>
                              <a:solidFill>
                                <a:schemeClr val="tx1"/>
                              </a:solidFill>
                              <a:effectLst/>
                              <a:latin typeface="Arial Narrow" pitchFamily="34" charset="0"/>
                            </a:endParaRPr>
                          </a:p>
                        </a:txBody>
                        <a:useSpRect/>
                      </a:txSp>
                    </a:sp>
                    <a:sp>
                      <a:nvSpPr>
                        <a:cNvPr id="14" name="Text Box 10"/>
                        <a:cNvSpPr txBox="1">
                          <a:spLocks noChangeArrowheads="1"/>
                        </a:cNvSpPr>
                      </a:nvSpPr>
                      <a:spPr bwMode="auto">
                        <a:xfrm>
                          <a:off x="59416" y="6466766"/>
                          <a:ext cx="776175" cy="307777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  <a:effectLst/>
                      </a:spPr>
                      <a:txSp>
                        <a:txBody>
                          <a:bodyPr wrap="none">
                            <a:spAutoFit/>
                          </a:bodyPr>
                          <a:lstStyle>
                            <a:defPPr>
                              <a:defRPr lang="en-GB"/>
                            </a:defPPr>
                            <a:lvl1pPr algn="l" rtl="0" eaLnBrk="0" fontAlgn="base" hangingPunct="0">
                              <a:spcBef>
                                <a:spcPct val="20000"/>
                              </a:spcBef>
                              <a:spcAft>
                                <a:spcPct val="0"/>
                              </a:spcAft>
                              <a:buClr>
                                <a:schemeClr val="tx1"/>
                              </a:buClr>
                              <a:buSzPct val="75000"/>
                              <a:buFont typeface="Monotype Sorts" pitchFamily="2" charset="2"/>
                              <a:buChar char="q"/>
                              <a:defRPr sz="2400" b="1" kern="1200">
                                <a:solidFill>
                                  <a:schemeClr val="tx1"/>
                                </a:solidFill>
                                <a:latin typeface="Arial Narrow" pitchFamily="34" charset="0"/>
                                <a:ea typeface="+mn-ea"/>
                                <a:cs typeface="+mn-cs"/>
                              </a:defRPr>
                            </a:lvl1pPr>
                            <a:lvl2pPr marL="457200" algn="l" rtl="0" eaLnBrk="0" fontAlgn="base" hangingPunct="0">
                              <a:spcBef>
                                <a:spcPct val="20000"/>
                              </a:spcBef>
                              <a:spcAft>
                                <a:spcPct val="0"/>
                              </a:spcAft>
                              <a:buClr>
                                <a:schemeClr val="tx1"/>
                              </a:buClr>
                              <a:buSzPct val="75000"/>
                              <a:buFont typeface="Monotype Sorts" pitchFamily="2" charset="2"/>
                              <a:buChar char="q"/>
                              <a:defRPr sz="2400" b="1" kern="1200">
                                <a:solidFill>
                                  <a:schemeClr val="tx1"/>
                                </a:solidFill>
                                <a:latin typeface="Arial Narrow" pitchFamily="34" charset="0"/>
                                <a:ea typeface="+mn-ea"/>
                                <a:cs typeface="+mn-cs"/>
                              </a:defRPr>
                            </a:lvl2pPr>
                            <a:lvl3pPr marL="914400" algn="l" rtl="0" eaLnBrk="0" fontAlgn="base" hangingPunct="0">
                              <a:spcBef>
                                <a:spcPct val="20000"/>
                              </a:spcBef>
                              <a:spcAft>
                                <a:spcPct val="0"/>
                              </a:spcAft>
                              <a:buClr>
                                <a:schemeClr val="tx1"/>
                              </a:buClr>
                              <a:buSzPct val="75000"/>
                              <a:buFont typeface="Monotype Sorts" pitchFamily="2" charset="2"/>
                              <a:buChar char="q"/>
                              <a:defRPr sz="2400" b="1" kern="1200">
                                <a:solidFill>
                                  <a:schemeClr val="tx1"/>
                                </a:solidFill>
                                <a:latin typeface="Arial Narrow" pitchFamily="34" charset="0"/>
                                <a:ea typeface="+mn-ea"/>
                                <a:cs typeface="+mn-cs"/>
                              </a:defRPr>
                            </a:lvl3pPr>
                            <a:lvl4pPr marL="1371600" algn="l" rtl="0" eaLnBrk="0" fontAlgn="base" hangingPunct="0">
                              <a:spcBef>
                                <a:spcPct val="20000"/>
                              </a:spcBef>
                              <a:spcAft>
                                <a:spcPct val="0"/>
                              </a:spcAft>
                              <a:buClr>
                                <a:schemeClr val="tx1"/>
                              </a:buClr>
                              <a:buSzPct val="75000"/>
                              <a:buFont typeface="Monotype Sorts" pitchFamily="2" charset="2"/>
                              <a:buChar char="q"/>
                              <a:defRPr sz="2400" b="1" kern="1200">
                                <a:solidFill>
                                  <a:schemeClr val="tx1"/>
                                </a:solidFill>
                                <a:latin typeface="Arial Narrow" pitchFamily="34" charset="0"/>
                                <a:ea typeface="+mn-ea"/>
                                <a:cs typeface="+mn-cs"/>
                              </a:defRPr>
                            </a:lvl4pPr>
                            <a:lvl5pPr marL="1828800" algn="l" rtl="0" eaLnBrk="0" fontAlgn="base" hangingPunct="0">
                              <a:spcBef>
                                <a:spcPct val="20000"/>
                              </a:spcBef>
                              <a:spcAft>
                                <a:spcPct val="0"/>
                              </a:spcAft>
                              <a:buClr>
                                <a:schemeClr val="tx1"/>
                              </a:buClr>
                              <a:buSzPct val="75000"/>
                              <a:buFont typeface="Monotype Sorts" pitchFamily="2" charset="2"/>
                              <a:buChar char="q"/>
                              <a:defRPr sz="2400" b="1" kern="1200">
                                <a:solidFill>
                                  <a:schemeClr val="tx1"/>
                                </a:solidFill>
                                <a:latin typeface="Arial Narrow" pitchFamily="34" charset="0"/>
                                <a:ea typeface="+mn-ea"/>
                                <a:cs typeface="+mn-cs"/>
                              </a:defRPr>
                            </a:lvl5pPr>
                            <a:lvl6pPr marL="2286000" algn="l" defTabSz="914400" rtl="0" eaLnBrk="1" latinLnBrk="0" hangingPunct="1">
                              <a:defRPr sz="2400" b="1" kern="1200">
                                <a:solidFill>
                                  <a:schemeClr val="tx1"/>
                                </a:solidFill>
                                <a:latin typeface="Arial Narrow" pitchFamily="34" charset="0"/>
                                <a:ea typeface="+mn-ea"/>
                                <a:cs typeface="+mn-cs"/>
                              </a:defRPr>
                            </a:lvl6pPr>
                            <a:lvl7pPr marL="2743200" algn="l" defTabSz="914400" rtl="0" eaLnBrk="1" latinLnBrk="0" hangingPunct="1">
                              <a:defRPr sz="2400" b="1" kern="1200">
                                <a:solidFill>
                                  <a:schemeClr val="tx1"/>
                                </a:solidFill>
                                <a:latin typeface="Arial Narrow" pitchFamily="34" charset="0"/>
                                <a:ea typeface="+mn-ea"/>
                                <a:cs typeface="+mn-cs"/>
                              </a:defRPr>
                            </a:lvl7pPr>
                            <a:lvl8pPr marL="3200400" algn="l" defTabSz="914400" rtl="0" eaLnBrk="1" latinLnBrk="0" hangingPunct="1">
                              <a:defRPr sz="2400" b="1" kern="1200">
                                <a:solidFill>
                                  <a:schemeClr val="tx1"/>
                                </a:solidFill>
                                <a:latin typeface="Arial Narrow" pitchFamily="34" charset="0"/>
                                <a:ea typeface="+mn-ea"/>
                                <a:cs typeface="+mn-cs"/>
                              </a:defRPr>
                            </a:lvl8pPr>
                            <a:lvl9pPr marL="3657600" algn="l" defTabSz="914400" rtl="0" eaLnBrk="1" latinLnBrk="0" hangingPunct="1">
                              <a:defRPr sz="2400" b="1" kern="1200">
                                <a:solidFill>
                                  <a:schemeClr val="tx1"/>
                                </a:solidFill>
                                <a:latin typeface="Arial Narrow" pitchFamily="34" charset="0"/>
                                <a:ea typeface="+mn-ea"/>
                                <a:cs typeface="+mn-cs"/>
                              </a:defRPr>
                            </a:lvl9pPr>
                          </a:lstStyle>
                          <a:p>
                            <a:pPr algn="r">
                              <a:spcBef>
                                <a:spcPct val="0"/>
                              </a:spcBef>
                              <a:buClrTx/>
                              <a:buSzTx/>
                              <a:buFontTx/>
                              <a:buNone/>
                            </a:pPr>
                            <a:r>
                              <a:rPr lang="en-CA" sz="1400" dirty="0"/>
                              <a:t>Fig. </a:t>
                            </a:r>
                            <a:r>
                              <a:rPr lang="en-CA" sz="1400" dirty="0" smtClean="0"/>
                              <a:t>36.5</a:t>
                            </a:r>
                            <a:endParaRPr lang="en-CA" sz="1400" dirty="0"/>
                          </a:p>
                        </a:txBody>
                        <a:useSpRect/>
                      </a:txSp>
                    </a:sp>
                  </a:grpSp>
                </lc:lockedCanvas>
              </a:graphicData>
            </a:graphic>
          </wp:inline>
        </w:drawing>
      </w:r>
    </w:p>
    <w:p w:rsidR="00513631" w:rsidRDefault="00513631" w:rsidP="00836401">
      <w:pPr>
        <w:spacing w:after="0"/>
        <w:rPr>
          <w:rFonts w:ascii="Cambria Math" w:hAnsi="Cambria Math"/>
        </w:rPr>
      </w:pPr>
    </w:p>
    <w:p w:rsidR="00513631" w:rsidRDefault="00513631" w:rsidP="00836401">
      <w:pPr>
        <w:spacing w:after="0"/>
        <w:rPr>
          <w:rFonts w:ascii="Cambria Math" w:hAnsi="Cambria Math"/>
        </w:rPr>
      </w:pPr>
    </w:p>
    <w:p w:rsidR="00513631" w:rsidRPr="00513631" w:rsidRDefault="00513631" w:rsidP="00836401">
      <w:pPr>
        <w:spacing w:after="0"/>
        <w:rPr>
          <w:rFonts w:ascii="Cambria Math" w:hAnsi="Cambria Math"/>
          <w:lang w:val="fr-CA"/>
        </w:rPr>
      </w:pPr>
      <w:r w:rsidRPr="00513631">
        <w:rPr>
          <w:rFonts w:ascii="Cambria Math" w:hAnsi="Cambria Math"/>
          <w:lang w:val="fr-CA"/>
        </w:rPr>
        <w:t>Microt</w:t>
      </w:r>
      <w:r>
        <w:rPr>
          <w:rFonts w:ascii="Cambria Math" w:hAnsi="Cambria Math"/>
          <w:lang w:val="fr-CA"/>
        </w:rPr>
        <w:t xml:space="preserve">ubule Driven Movement : </w:t>
      </w:r>
      <w:r w:rsidRPr="00513631">
        <w:rPr>
          <w:rFonts w:ascii="Cambria Math" w:hAnsi="Cambria Math"/>
          <w:lang w:val="fr-CA"/>
        </w:rPr>
        <w:t xml:space="preserve">(I.e. </w:t>
      </w:r>
      <w:r w:rsidRPr="002F16A9">
        <w:rPr>
          <w:rFonts w:ascii="Cambria Math" w:hAnsi="Cambria Math"/>
        </w:rPr>
        <w:t>Neurons</w:t>
      </w:r>
      <w:r w:rsidRPr="00513631">
        <w:rPr>
          <w:rFonts w:ascii="Cambria Math" w:hAnsi="Cambria Math"/>
          <w:lang w:val="fr-CA"/>
        </w:rPr>
        <w:t>)</w:t>
      </w:r>
    </w:p>
    <w:p w:rsidR="00513631" w:rsidRDefault="00513631" w:rsidP="00836401">
      <w:pPr>
        <w:spacing w:after="0"/>
        <w:rPr>
          <w:rFonts w:ascii="Cambria Math" w:hAnsi="Cambria Math"/>
        </w:rPr>
      </w:pPr>
      <w:r w:rsidRPr="00513631">
        <w:rPr>
          <w:rFonts w:ascii="Cambria Math" w:hAnsi="Cambria Math"/>
          <w:noProof/>
          <w:lang w:eastAsia="en-CA"/>
        </w:rPr>
        <w:drawing>
          <wp:inline distT="0" distB="0" distL="0" distR="0">
            <wp:extent cx="5614987" cy="2295525"/>
            <wp:effectExtent l="19050" t="0" r="4763" b="0"/>
            <wp:docPr id="5" name="Picture 5" descr="17_15_nerve_cell_axon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925" name="Picture 5" descr="17_15_nerve_cell_axon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7124" t="27055" r="7333" b="259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4987" cy="2295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513631" w:rsidRPr="00836401" w:rsidRDefault="00513631" w:rsidP="00836401">
      <w:pPr>
        <w:spacing w:after="0"/>
        <w:rPr>
          <w:rFonts w:ascii="Cambria Math" w:hAnsi="Cambria Math"/>
        </w:rPr>
      </w:pPr>
    </w:p>
    <w:sectPr w:rsidR="00513631" w:rsidRPr="00836401" w:rsidSect="00A17AD2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A00002EF" w:usb1="420020EB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EC67864"/>
    <w:multiLevelType w:val="hybridMultilevel"/>
    <w:tmpl w:val="DF345D4E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5382A4B"/>
    <w:multiLevelType w:val="hybridMultilevel"/>
    <w:tmpl w:val="820C9864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B9135FC"/>
    <w:multiLevelType w:val="hybridMultilevel"/>
    <w:tmpl w:val="886E4B64"/>
    <w:lvl w:ilvl="0" w:tplc="10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10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100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1DBC7398"/>
    <w:multiLevelType w:val="hybridMultilevel"/>
    <w:tmpl w:val="9E24319E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2960692"/>
    <w:multiLevelType w:val="hybridMultilevel"/>
    <w:tmpl w:val="F1FCDF14"/>
    <w:lvl w:ilvl="0" w:tplc="10090001">
      <w:start w:val="1"/>
      <w:numFmt w:val="bullet"/>
      <w:lvlText w:val=""/>
      <w:lvlJc w:val="left"/>
      <w:pPr>
        <w:ind w:left="643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363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083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03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523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243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4963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683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03" w:hanging="360"/>
      </w:pPr>
      <w:rPr>
        <w:rFonts w:ascii="Wingdings" w:hAnsi="Wingdings" w:hint="default"/>
      </w:rPr>
    </w:lvl>
  </w:abstractNum>
  <w:abstractNum w:abstractNumId="5">
    <w:nsid w:val="281579F0"/>
    <w:multiLevelType w:val="hybridMultilevel"/>
    <w:tmpl w:val="E7962CFC"/>
    <w:lvl w:ilvl="0" w:tplc="10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F14450C"/>
    <w:multiLevelType w:val="hybridMultilevel"/>
    <w:tmpl w:val="3050DDB0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>
      <w:start w:val="1"/>
      <w:numFmt w:val="bullet"/>
      <w:lvlText w:val="o"/>
      <w:lvlJc w:val="left"/>
      <w:pPr>
        <w:ind w:left="91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0590C66"/>
    <w:multiLevelType w:val="hybridMultilevel"/>
    <w:tmpl w:val="96BE75A8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A632832"/>
    <w:multiLevelType w:val="hybridMultilevel"/>
    <w:tmpl w:val="1C70421E"/>
    <w:lvl w:ilvl="0" w:tplc="10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FBC2E582">
      <w:start w:val="1"/>
      <w:numFmt w:val="bullet"/>
      <w:lvlText w:val="-"/>
      <w:lvlJc w:val="left"/>
      <w:pPr>
        <w:ind w:left="644" w:hanging="360"/>
      </w:pPr>
      <w:rPr>
        <w:rFonts w:ascii="Courier New" w:hAnsi="Courier New" w:hint="default"/>
      </w:rPr>
    </w:lvl>
    <w:lvl w:ilvl="2" w:tplc="10090005">
      <w:start w:val="1"/>
      <w:numFmt w:val="bullet"/>
      <w:lvlText w:val=""/>
      <w:lvlJc w:val="left"/>
      <w:pPr>
        <w:ind w:left="1069" w:hanging="360"/>
      </w:pPr>
      <w:rPr>
        <w:rFonts w:ascii="Wingdings" w:hAnsi="Wingdings" w:hint="default"/>
      </w:rPr>
    </w:lvl>
    <w:lvl w:ilvl="3" w:tplc="10090001">
      <w:start w:val="1"/>
      <w:numFmt w:val="bullet"/>
      <w:lvlText w:val=""/>
      <w:lvlJc w:val="left"/>
      <w:pPr>
        <w:ind w:left="643" w:hanging="360"/>
      </w:pPr>
      <w:rPr>
        <w:rFonts w:ascii="Symbol" w:hAnsi="Symbol" w:hint="default"/>
      </w:rPr>
    </w:lvl>
    <w:lvl w:ilvl="4" w:tplc="10090003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5" w:tplc="10090005">
      <w:start w:val="1"/>
      <w:numFmt w:val="bullet"/>
      <w:lvlText w:val=""/>
      <w:lvlJc w:val="left"/>
      <w:pPr>
        <w:ind w:left="643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2086449"/>
    <w:multiLevelType w:val="hybridMultilevel"/>
    <w:tmpl w:val="0B5AF36A"/>
    <w:lvl w:ilvl="0" w:tplc="10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10090003">
      <w:start w:val="1"/>
      <w:numFmt w:val="bullet"/>
      <w:lvlText w:val="o"/>
      <w:lvlJc w:val="left"/>
      <w:pPr>
        <w:ind w:left="1069" w:hanging="360"/>
      </w:pPr>
      <w:rPr>
        <w:rFonts w:ascii="Courier New" w:hAnsi="Courier New" w:cs="Courier New" w:hint="default"/>
      </w:rPr>
    </w:lvl>
    <w:lvl w:ilvl="2" w:tplc="10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D421BA2"/>
    <w:multiLevelType w:val="hybridMultilevel"/>
    <w:tmpl w:val="759E9BB8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56054293"/>
    <w:multiLevelType w:val="hybridMultilevel"/>
    <w:tmpl w:val="14764942"/>
    <w:lvl w:ilvl="0" w:tplc="1009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10090003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10090005">
      <w:start w:val="1"/>
      <w:numFmt w:val="bullet"/>
      <w:lvlText w:val=""/>
      <w:lvlJc w:val="left"/>
      <w:pPr>
        <w:ind w:left="1352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12">
    <w:nsid w:val="6A3530CC"/>
    <w:multiLevelType w:val="hybridMultilevel"/>
    <w:tmpl w:val="9552F944"/>
    <w:lvl w:ilvl="0" w:tplc="10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10090003">
      <w:start w:val="1"/>
      <w:numFmt w:val="bullet"/>
      <w:lvlText w:val="o"/>
      <w:lvlJc w:val="left"/>
      <w:pPr>
        <w:ind w:left="927" w:hanging="360"/>
      </w:pPr>
      <w:rPr>
        <w:rFonts w:ascii="Courier New" w:hAnsi="Courier New" w:cs="Courier New" w:hint="default"/>
      </w:rPr>
    </w:lvl>
    <w:lvl w:ilvl="2" w:tplc="10090005">
      <w:start w:val="1"/>
      <w:numFmt w:val="bullet"/>
      <w:lvlText w:val=""/>
      <w:lvlJc w:val="left"/>
      <w:pPr>
        <w:ind w:left="1636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B624B61"/>
    <w:multiLevelType w:val="hybridMultilevel"/>
    <w:tmpl w:val="0392710C"/>
    <w:lvl w:ilvl="0" w:tplc="10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10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73A3177C"/>
    <w:multiLevelType w:val="hybridMultilevel"/>
    <w:tmpl w:val="60BC754A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DE81431"/>
    <w:multiLevelType w:val="hybridMultilevel"/>
    <w:tmpl w:val="615A2382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11">
      <w:start w:val="1"/>
      <w:numFmt w:val="decimal"/>
      <w:lvlText w:val="%4)"/>
      <w:lvlJc w:val="left"/>
      <w:pPr>
        <w:ind w:left="2880" w:hanging="360"/>
      </w:pPr>
      <w:rPr>
        <w:rFonts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10"/>
  </w:num>
  <w:num w:numId="3">
    <w:abstractNumId w:val="13"/>
  </w:num>
  <w:num w:numId="4">
    <w:abstractNumId w:val="9"/>
  </w:num>
  <w:num w:numId="5">
    <w:abstractNumId w:val="8"/>
  </w:num>
  <w:num w:numId="6">
    <w:abstractNumId w:val="11"/>
  </w:num>
  <w:num w:numId="7">
    <w:abstractNumId w:val="5"/>
  </w:num>
  <w:num w:numId="8">
    <w:abstractNumId w:val="2"/>
  </w:num>
  <w:num w:numId="9">
    <w:abstractNumId w:val="4"/>
  </w:num>
  <w:num w:numId="10">
    <w:abstractNumId w:val="0"/>
  </w:num>
  <w:num w:numId="11">
    <w:abstractNumId w:val="1"/>
  </w:num>
  <w:num w:numId="12">
    <w:abstractNumId w:val="12"/>
  </w:num>
  <w:num w:numId="13">
    <w:abstractNumId w:val="6"/>
  </w:num>
  <w:num w:numId="14">
    <w:abstractNumId w:val="15"/>
  </w:num>
  <w:num w:numId="15">
    <w:abstractNumId w:val="14"/>
  </w:num>
  <w:num w:numId="16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3"/>
  <w:attachedTemplate r:id="rId1"/>
  <w:defaultTabStop w:val="720"/>
  <w:characterSpacingControl w:val="doNotCompress"/>
  <w:compat/>
  <w:rsids>
    <w:rsidRoot w:val="00836401"/>
    <w:rsid w:val="000239D5"/>
    <w:rsid w:val="00052259"/>
    <w:rsid w:val="00136090"/>
    <w:rsid w:val="001F6F7E"/>
    <w:rsid w:val="0022690F"/>
    <w:rsid w:val="0025037E"/>
    <w:rsid w:val="002D6896"/>
    <w:rsid w:val="002F16A9"/>
    <w:rsid w:val="00327C16"/>
    <w:rsid w:val="00354243"/>
    <w:rsid w:val="00390DD6"/>
    <w:rsid w:val="003A40C4"/>
    <w:rsid w:val="003B375B"/>
    <w:rsid w:val="003D100A"/>
    <w:rsid w:val="003E255B"/>
    <w:rsid w:val="004E46BB"/>
    <w:rsid w:val="00513631"/>
    <w:rsid w:val="0051402F"/>
    <w:rsid w:val="00515808"/>
    <w:rsid w:val="00530229"/>
    <w:rsid w:val="0055647F"/>
    <w:rsid w:val="005C6BF3"/>
    <w:rsid w:val="005E7B73"/>
    <w:rsid w:val="005F31C1"/>
    <w:rsid w:val="0062354E"/>
    <w:rsid w:val="007533B1"/>
    <w:rsid w:val="00761185"/>
    <w:rsid w:val="007655D6"/>
    <w:rsid w:val="00836401"/>
    <w:rsid w:val="0087323E"/>
    <w:rsid w:val="008B1C7C"/>
    <w:rsid w:val="008B6DC0"/>
    <w:rsid w:val="008C2041"/>
    <w:rsid w:val="009356B7"/>
    <w:rsid w:val="009420CD"/>
    <w:rsid w:val="00981171"/>
    <w:rsid w:val="00997324"/>
    <w:rsid w:val="009A59AD"/>
    <w:rsid w:val="009B236F"/>
    <w:rsid w:val="00A17AD2"/>
    <w:rsid w:val="00A9139B"/>
    <w:rsid w:val="00B10B37"/>
    <w:rsid w:val="00BB6A0A"/>
    <w:rsid w:val="00C55FAF"/>
    <w:rsid w:val="00CB505E"/>
    <w:rsid w:val="00D97120"/>
    <w:rsid w:val="00DD7852"/>
    <w:rsid w:val="00E47C47"/>
    <w:rsid w:val="00E92665"/>
    <w:rsid w:val="00E95C53"/>
    <w:rsid w:val="00EF7459"/>
    <w:rsid w:val="00F111E8"/>
    <w:rsid w:val="00F244F0"/>
    <w:rsid w:val="00F52F5E"/>
    <w:rsid w:val="00F71821"/>
    <w:rsid w:val="00F739E5"/>
    <w:rsid w:val="00F93713"/>
    <w:rsid w:val="00FD7EC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C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17AD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BB6A0A"/>
    <w:pPr>
      <w:ind w:left="720"/>
      <w:contextualSpacing/>
    </w:pPr>
  </w:style>
  <w:style w:type="table" w:styleId="TableGrid">
    <w:name w:val="Table Grid"/>
    <w:basedOn w:val="TableNormal"/>
    <w:uiPriority w:val="59"/>
    <w:rsid w:val="00327C1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327C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27C1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Qow\AppData\Local\Chemistry%20Add-in%20for%20Word\Chemistry%20Gallery\Chem4Word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ControlsStorage xmlns="urn:schemas-microsoft-com.VSTO2008Demos.ControlsStorage">
  <Controls>AAEAAAD/////AQAAAAAAAAAMAgAAAEVDaGVtNFdvcmQuQ29yZSwgVmVyc2lvbj0xLjAuMC4wLCBDdWx0dXJlPW5ldXRyYWwsIFB1YmxpY0tleVRva2VuPW51bGwHAQAAAAABAAAAAAAAAAQgQ2hlbTRXb3JkLkNvcmUuQ29udHJvbFByb3BlcnRpZXMCAAAACw==</Controls>
</ControlsStorage>
</file>

<file path=customXml/itemProps1.xml><?xml version="1.0" encoding="utf-8"?>
<ds:datastoreItem xmlns:ds="http://schemas.openxmlformats.org/officeDocument/2006/customXml" ds:itemID="{6E27328E-386A-485A-A7F4-394D659A94B6}">
  <ds:schemaRefs>
    <ds:schemaRef ds:uri="urn:schemas-microsoft-com.VSTO2008Demos.ControlsStorage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Chem4Word.dotx</Template>
  <TotalTime>0</TotalTime>
  <Pages>12</Pages>
  <Words>2303</Words>
  <Characters>13131</Characters>
  <Application>Microsoft Office Word</Application>
  <DocSecurity>0</DocSecurity>
  <Lines>109</Lines>
  <Paragraphs>30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15404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Qow</dc:creator>
  <cp:lastModifiedBy>Qow</cp:lastModifiedBy>
  <cp:revision>2</cp:revision>
  <dcterms:created xsi:type="dcterms:W3CDTF">2011-04-13T14:25:00Z</dcterms:created>
  <dcterms:modified xsi:type="dcterms:W3CDTF">2011-04-13T14:25:00Z</dcterms:modified>
</cp:coreProperties>
</file>